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80"/>
        <w:jc w:val="center"/>
      </w:pPr>
      <w:r>
        <w:rPr>
          <w:rFonts w:ascii="Calibri" w:cs="Calibri" w:eastAsia="Calibri" w:hAnsi="Calibri"/>
          <w:b/>
          <w:bCs/>
          <w:color w:val="B48735"/>
          <w:spacing w:val="100"/>
          <w:sz w:val="18"/>
          <w:szCs w:val="18"/>
        </w:rPr>
        <w:t xml:space="preserve">LAW.PH</w:t>
      </w:r>
    </w:p>
    <w:p>
      <w:pPr>
        <w:pStyle w:val="Title"/>
        <w:spacing w:after="100"/>
        <w:jc w:val="center"/>
      </w:pPr>
      <w:r>
        <w:rPr>
          <w:rFonts w:ascii="Calibri" w:cs="Calibri" w:eastAsia="Calibri" w:hAnsi="Calibri"/>
          <w:b/>
          <w:bCs/>
          <w:color w:val="102B3F"/>
          <w:sz w:val="30"/>
          <w:szCs w:val="30"/>
        </w:rPr>
        <w:t xml:space="preserve">ACKNOWLEDGMENT RECEIPT</w:t>
      </w:r>
    </w:p>
    <w:p>
      <w:pPr>
        <w:spacing w:after="160"/>
        <w:jc w:val="center"/>
      </w:pPr>
      <w:r>
        <w:rPr>
          <w:rFonts w:ascii="Calibri" w:cs="Calibri" w:eastAsia="Calibri" w:hAnsi="Calibri"/>
          <w:color w:val="566674"/>
          <w:sz w:val="18"/>
          <w:szCs w:val="18"/>
        </w:rPr>
        <w:t xml:space="preserve">Money receipt · partial payment · Template v0.2.0</w:t>
      </w:r>
    </w:p>
    <w:p>
      <w:pPr>
        <w:shd w:fill="FFF8E8" w:val="clear"/>
        <w:spacing w:after="260" w:before="80"/>
        <w:jc w:val="center"/>
      </w:pPr>
      <w:r>
        <w:rPr>
          <w:rFonts w:ascii="Calibri" w:cs="Calibri" w:eastAsia="Calibri" w:hAnsi="Calibri"/>
          <w:b/>
          <w:bCs/>
          <w:color w:val="8A5A12"/>
          <w:sz w:val="16"/>
          <w:szCs w:val="16"/>
        </w:rPr>
        <w:t xml:space="preserve">FREE SAMPLE · Fictional names, dates, and amounts: replace every one before use · Independent Philippine lawyer review pending</w:t>
      </w:r>
    </w:p>
    <w:p>
      <w:pPr>
        <w:pStyle w:val="Heading2"/>
        <w:keepNext/>
        <w:spacing w:after="120" w:before="240"/>
      </w:pPr>
      <w:r>
        <w:rPr>
          <w:rFonts w:ascii="Calibri" w:cs="Calibri" w:eastAsia="Calibri" w:hAnsi="Calibri"/>
          <w:b/>
          <w:bCs/>
          <w:color w:val="102B3F"/>
          <w:sz w:val="26"/>
          <w:szCs w:val="26"/>
        </w:rPr>
        <w:t xml:space="preserve">THIS DOCUMENT IS NOT VALID FOR CLAIM OF INPUT TAX.</w:t>
      </w:r>
    </w:p>
    <w:p>
      <w:pPr>
        <w:keepLines/>
        <w:spacing w:after="120" w:line="264"/>
        <w:jc w:val="both"/>
      </w:pPr>
      <w:r>
        <w:rPr>
          <w:rFonts w:ascii="Calibri" w:cs="Calibri" w:eastAsia="Calibri" w:hAnsi="Calibri"/>
          <w:sz w:val="22"/>
          <w:szCs w:val="22"/>
        </w:rPr>
        <w:t xml:space="preserve">Receipt/control no.: AR-2026-0081</w:t>
      </w:r>
    </w:p>
    <w:p>
      <w:pPr>
        <w:keepLines/>
        <w:spacing w:after="120" w:line="264"/>
        <w:jc w:val="both"/>
      </w:pPr>
      <w:r>
        <w:rPr>
          <w:rFonts w:ascii="Calibri" w:cs="Calibri" w:eastAsia="Calibri" w:hAnsi="Calibri"/>
          <w:sz w:val="22"/>
          <w:szCs w:val="22"/>
        </w:rPr>
        <w:t xml:space="preserve">Actual receipt date: August 31, 2026 at 2:30 p.m.</w:t>
      </w:r>
    </w:p>
    <w:p>
      <w:pPr>
        <w:keepLines/>
        <w:spacing w:after="120" w:line="264"/>
        <w:jc w:val="both"/>
      </w:pPr>
      <w:r>
        <w:rPr>
          <w:rFonts w:ascii="Calibri" w:cs="Calibri" w:eastAsia="Calibri" w:hAnsi="Calibri"/>
          <w:sz w:val="22"/>
          <w:szCs w:val="22"/>
        </w:rPr>
        <w:t xml:space="preserve">Place of receipt or confirmation: Makati City, Philippines</w:t>
      </w:r>
    </w:p>
    <w:p>
      <w:pPr>
        <w:pStyle w:val="Heading2"/>
        <w:keepNext/>
        <w:spacing w:after="120" w:before="240"/>
      </w:pPr>
      <w:r>
        <w:rPr>
          <w:rFonts w:ascii="Calibri" w:cs="Calibri" w:eastAsia="Calibri" w:hAnsi="Calibri"/>
          <w:b/>
          <w:bCs/>
          <w:color w:val="102B3F"/>
          <w:sz w:val="26"/>
          <w:szCs w:val="26"/>
        </w:rPr>
        <w:t xml:space="preserve">1. Receiver and provider</w:t>
      </w:r>
    </w:p>
    <w:p>
      <w:pPr>
        <w:keepLines/>
        <w:spacing w:after="120" w:line="264"/>
        <w:jc w:val="both"/>
      </w:pPr>
      <w:r>
        <w:rPr>
          <w:rFonts w:ascii="Calibri" w:cs="Calibri" w:eastAsia="Calibri" w:hAnsi="Calibri"/>
          <w:sz w:val="22"/>
          <w:szCs w:val="22"/>
        </w:rPr>
        <w:t xml:space="preserve">Receiver issuing this acknowledgment: Andrea M. Reyes, of 18/F One Ayala Tower, Makati City 1226, acting People Operations Director for Bayanihan Digital Services, Inc. Recorded authority: Authorized under the company's current board and treasury delegation to receive, apply, and acknowledge this payment.</w:t>
      </w:r>
    </w:p>
    <w:p>
      <w:pPr>
        <w:keepLines/>
        <w:spacing w:after="120" w:line="264"/>
        <w:jc w:val="both"/>
      </w:pPr>
      <w:r>
        <w:rPr>
          <w:rFonts w:ascii="Calibri" w:cs="Calibri" w:eastAsia="Calibri" w:hAnsi="Calibri"/>
          <w:sz w:val="22"/>
          <w:szCs w:val="22"/>
        </w:rPr>
        <w:t xml:space="preserve">Provider or payor: Juan Miguel Santos, of Unit 8B, Sampaguita Residences, Makati City 1226, acting in the provider's personal capacity.</w:t>
      </w:r>
    </w:p>
    <w:p>
      <w:pPr>
        <w:pStyle w:val="Heading2"/>
        <w:keepNext/>
        <w:spacing w:after="120" w:before="240"/>
      </w:pPr>
      <w:r>
        <w:rPr>
          <w:rFonts w:ascii="Calibri" w:cs="Calibri" w:eastAsia="Calibri" w:hAnsi="Calibri"/>
          <w:b/>
          <w:bCs/>
          <w:color w:val="102B3F"/>
          <w:sz w:val="26"/>
          <w:szCs w:val="26"/>
        </w:rPr>
        <w:t xml:space="preserve">2. Exact subject received</w:t>
      </w:r>
    </w:p>
    <w:p>
      <w:pPr>
        <w:keepLines/>
        <w:spacing w:after="120" w:line="264"/>
        <w:jc w:val="both"/>
      </w:pPr>
      <w:r>
        <w:rPr>
          <w:rFonts w:ascii="Calibri" w:cs="Calibri" w:eastAsia="Calibri" w:hAnsi="Calibri"/>
          <w:sz w:val="22"/>
          <w:szCs w:val="22"/>
        </w:rPr>
        <w:t xml:space="preserve">Andrea M. Reyes acknowledges actual receipt from Juan Miguel Santos of Twenty-Five Thousand Philippine Pesos and 00/100 (PHP 25,000.00) by bank transfer, identified by BPI transfer reference BDS-20260831-7781 from account ending 1042.</w:t>
      </w:r>
    </w:p>
    <w:p>
      <w:pPr>
        <w:keepLines/>
        <w:spacing w:after="120" w:line="264"/>
        <w:jc w:val="both"/>
      </w:pPr>
      <w:r>
        <w:rPr>
          <w:rFonts w:ascii="Calibri" w:cs="Calibri" w:eastAsia="Calibri" w:hAnsi="Calibri"/>
          <w:sz w:val="22"/>
          <w:szCs w:val="22"/>
        </w:rPr>
        <w:t xml:space="preserve">The receiver confirms that the stated funds were actually received and treated as cleared at signing, subject to correction for a documented reversal, fraud, mistaken transfer, or other legally established defect.</w:t>
      </w:r>
    </w:p>
    <w:p>
      <w:pPr>
        <w:keepLines/>
        <w:spacing w:after="120" w:line="264"/>
        <w:jc w:val="both"/>
      </w:pPr>
      <w:r>
        <w:rPr>
          <w:rFonts w:ascii="Calibri" w:cs="Calibri" w:eastAsia="Calibri" w:hAnsi="Calibri"/>
          <w:sz w:val="22"/>
          <w:szCs w:val="22"/>
        </w:rPr>
        <w:t xml:space="preserve">Receipt occurred through electronic transfer: Bank transfer credited to the receiver's verified business account and confirmed through transaction reference BDS-20260831-7781.</w:t>
      </w:r>
    </w:p>
    <w:p>
      <w:pPr>
        <w:pStyle w:val="Heading2"/>
        <w:keepNext/>
        <w:spacing w:after="120" w:before="240"/>
      </w:pPr>
      <w:r>
        <w:rPr>
          <w:rFonts w:ascii="Calibri" w:cs="Calibri" w:eastAsia="Calibri" w:hAnsi="Calibri"/>
          <w:b/>
          <w:bCs/>
          <w:color w:val="102B3F"/>
          <w:sz w:val="26"/>
          <w:szCs w:val="26"/>
        </w:rPr>
        <w:t xml:space="preserve">3. Underlying transaction and limited effect</w:t>
      </w:r>
    </w:p>
    <w:p>
      <w:pPr>
        <w:keepLines/>
        <w:spacing w:after="120" w:line="264"/>
        <w:jc w:val="both"/>
      </w:pPr>
      <w:r>
        <w:rPr>
          <w:rFonts w:ascii="Calibri" w:cs="Calibri" w:eastAsia="Calibri" w:hAnsi="Calibri"/>
          <w:sz w:val="22"/>
          <w:szCs w:val="22"/>
        </w:rPr>
        <w:t xml:space="preserve">Underlying transaction or reason dated June 15, 2026: Repayment of the documented employee equipment loan for laptop asset BD-991 under the signed repayment schedule. Referenced instrument or record: Equipment Loan and Repayment Agreement dated 15 June 2026, account EL-1042.</w:t>
      </w:r>
    </w:p>
    <w:p>
      <w:pPr>
        <w:keepLines/>
        <w:spacing w:after="120" w:line="264"/>
        <w:jc w:val="both"/>
      </w:pPr>
      <w:r>
        <w:rPr>
          <w:rFonts w:ascii="Calibri" w:cs="Calibri" w:eastAsia="Calibri" w:hAnsi="Calibri"/>
          <w:sz w:val="22"/>
          <w:szCs w:val="22"/>
        </w:rPr>
        <w:t xml:space="preserve">This cleared receipt is applied as a partial payment only. Verified total of the exact identified obligation: PHP 100,000.00. Verified prior payments: PHP 25,000.00. This payment: PHP 25,000.00. Remaining arithmetic balance after this receipt: PHP 50,000.00. Application: Third scheduled principal installment under account EL-1042, applied after the two previously credited installments.</w:t>
      </w:r>
    </w:p>
    <w:p>
      <w:pPr>
        <w:keepLines/>
        <w:spacing w:after="120" w:line="264"/>
        <w:jc w:val="both"/>
      </w:pPr>
      <w:r>
        <w:rPr>
          <w:rFonts w:ascii="Calibri" w:cs="Calibri" w:eastAsia="Calibri" w:hAnsi="Calibri"/>
          <w:sz w:val="22"/>
          <w:szCs w:val="22"/>
        </w:rPr>
        <w:t xml:space="preserve">This receipt is issued with express reservation of all accrued and accruing interest, penalties, charges, and any prior unpaid installments, which are not presumed paid (Civil Code Article 1176). Acceptance of this payment is not acceptance of incomplete performance as full compliance (Civil Code Article 1235).</w:t>
      </w:r>
    </w:p>
    <w:p>
      <w:pPr>
        <w:pStyle w:val="Heading2"/>
        <w:keepNext/>
        <w:spacing w:after="120" w:before="240"/>
      </w:pPr>
      <w:r>
        <w:rPr>
          <w:rFonts w:ascii="Calibri" w:cs="Calibri" w:eastAsia="Calibri" w:hAnsi="Calibri"/>
          <w:b/>
          <w:bCs/>
          <w:color w:val="102B3F"/>
          <w:sz w:val="26"/>
          <w:szCs w:val="26"/>
        </w:rPr>
        <w:t xml:space="preserve">4. Tax, evidence, and document boundaries</w:t>
      </w:r>
    </w:p>
    <w:p>
      <w:pPr>
        <w:keepLines/>
        <w:spacing w:after="120" w:line="264"/>
        <w:jc w:val="both"/>
      </w:pPr>
      <w:r>
        <w:rPr>
          <w:rFonts w:ascii="Calibri" w:cs="Calibri" w:eastAsia="Calibri" w:hAnsi="Calibri"/>
          <w:sz w:val="22"/>
          <w:szCs w:val="22"/>
        </w:rPr>
        <w:t xml:space="preserve">This acknowledgment is a factual record of the receipt described above. It does not add unstated terms to the underlying transaction, transfer an unstated right, admit liability, amend or novate an agreement, waive a defense or mandatory right, or settle an unrelated account.</w:t>
      </w:r>
    </w:p>
    <w:p>
      <w:pPr>
        <w:keepLines/>
        <w:spacing w:after="120" w:line="264"/>
        <w:jc w:val="both"/>
      </w:pPr>
      <w:r>
        <w:rPr>
          <w:rFonts w:ascii="Calibri" w:cs="Calibri" w:eastAsia="Calibri" w:hAnsi="Calibri"/>
          <w:sz w:val="22"/>
          <w:szCs w:val="22"/>
        </w:rPr>
        <w:t xml:space="preserve">This private acknowledgment is not represented as a BIR invoice, government official receipt, permit, registry record, bank confirmation, courier record, or other third-party certification.</w:t>
      </w:r>
    </w:p>
    <w:p>
      <w:pPr>
        <w:pStyle w:val="Heading2"/>
        <w:keepNext/>
        <w:spacing w:after="120" w:before="240"/>
      </w:pPr>
      <w:r>
        <w:rPr>
          <w:rFonts w:ascii="Calibri" w:cs="Calibri" w:eastAsia="Calibri" w:hAnsi="Calibri"/>
          <w:b/>
          <w:bCs/>
          <w:color w:val="102B3F"/>
          <w:sz w:val="26"/>
          <w:szCs w:val="26"/>
        </w:rPr>
        <w:t xml:space="preserve">5. Confirmation</w:t>
      </w:r>
    </w:p>
    <w:p>
      <w:pPr>
        <w:keepLines/>
        <w:spacing w:after="120" w:line="264"/>
        <w:jc w:val="both"/>
      </w:pPr>
      <w:r>
        <w:rPr>
          <w:rFonts w:ascii="Calibri" w:cs="Calibri" w:eastAsia="Calibri" w:hAnsi="Calibri"/>
          <w:sz w:val="22"/>
          <w:szCs w:val="22"/>
        </w:rPr>
        <w:t xml:space="preserve">The receiver confirms actual receipt only after checking the stated subject, amount or identifiers, delivery details, authority, and condition. Juan Miguel Santos is not required by this version to countersign the receiver's factual acknowledgment.</w:t>
      </w:r>
    </w:p>
    <w:p>
      <w:pPr>
        <w:keepLines/>
        <w:spacing w:after="120" w:line="264"/>
        <w:jc w:val="both"/>
      </w:pPr>
      <w:r>
        <w:rPr>
          <w:rFonts w:ascii="Calibri" w:cs="Calibri" w:eastAsia="Calibri" w:hAnsi="Calibri"/>
          <w:sz w:val="22"/>
          <w:szCs w:val="22"/>
        </w:rPr>
        <w:t xml:space="preserve">Each signer should retain an exact completed copy together with the underlying agreement or account record and the relevant bank, wallet, cleared-check, courier, inventory, delivery, invoice, or transfer evidence.</w:t>
      </w:r>
    </w:p>
    <w:p>
      <w:pPr>
        <w:keepNext/>
        <w:spacing w:after="260" w:before="360"/>
      </w:pPr>
      <w:r>
        <w:rPr>
          <w:rFonts w:ascii="Calibri" w:cs="Calibri" w:eastAsia="Calibri" w:hAnsi="Calibri"/>
          <w:b/>
          <w:bCs/>
          <w:sz w:val="22"/>
          <w:szCs w:val="22"/>
        </w:rPr>
        <w:t xml:space="preserve">SIGNED by the receiver only after actual receipt, using wet signature.</w:t>
      </w:r>
    </w:p>
    <w:tbl>
      <w:tblPr>
        <w:tblW w:type="dxa" w:w="9360"/>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680"/>
        <w:gridCol w:w="4680"/>
      </w:tblGrid>
      <w:tr>
        <w:trPr>
          <w:cantSplit/>
        </w:trPr>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RECEIVER / ISSUER OF RECEIPT</w:t>
            </w:r>
          </w:p>
          <w:p>
            <w:pPr>
              <w:spacing w:after="120"/>
            </w:pPr>
            <w:r>
              <w:rPr>
                <w:rFonts w:ascii="Calibri" w:cs="Calibri" w:eastAsia="Calibri" w:hAnsi="Calibri"/>
                <w:sz w:val="22"/>
                <w:szCs w:val="22"/>
              </w:rPr>
              <w:t xml:space="preserve">Andrea M. Reyes</w:t>
            </w:r>
          </w:p>
          <w:p>
            <w:pPr>
              <w:spacing w:after="120"/>
            </w:pPr>
            <w:r>
              <w:rPr>
                <w:rFonts w:ascii="Calibri" w:cs="Calibri" w:eastAsia="Calibri" w:hAnsi="Calibri"/>
                <w:sz w:val="22"/>
                <w:szCs w:val="22"/>
              </w:rPr>
              <w:t xml:space="preserve">People Operations Director for Bayanihan Digital Services, Inc.</w:t>
            </w:r>
          </w:p>
          <w:p>
            <w:r>
              <w:rPr>
                <w:rFonts w:ascii="Calibri" w:cs="Calibri" w:eastAsia="Calibri" w:hAnsi="Calibri"/>
                <w:sz w:val="22"/>
                <w:szCs w:val="22"/>
              </w:rPr>
              <w:t xml:space="preserve">Date: ______________________________</w:t>
            </w:r>
          </w:p>
        </w:tc>
        <w:tc>
          <w:tcPr>
            <w:tcW w:type="dxa" w:w="4680"/>
            <w:tcMar>
              <w:top w:type="dxa" w:w="100"/>
              <w:left w:type="dxa" w:w="0"/>
              <w:bottom w:type="dxa" w:w="160"/>
              <w:right w:type="dxa" w:w="240"/>
            </w:tcMar>
          </w:tcPr>
          <w:p>
            <w:pPr>
              <w:spacing w:after="500"/>
            </w:pPr>
            <w:r>
              <w:rPr>
                <w:rFonts w:ascii="Calibri" w:cs="Calibri" w:eastAsia="Calibri" w:hAnsi="Calibri"/>
                <w:b/>
                <w:bCs/>
                <w:sz w:val="22"/>
                <w:szCs w:val="22"/>
              </w:rPr>
              <w:t xml:space="preserve"/>
            </w:r>
          </w:p>
          <w:p>
            <w:pPr>
              <w:spacing w:after="120"/>
            </w:pPr>
            <w:r>
              <w:rPr>
                <w:rFonts w:ascii="Calibri" w:cs="Calibri" w:eastAsia="Calibri" w:hAnsi="Calibri"/>
                <w:sz w:val="22"/>
                <w:szCs w:val="22"/>
              </w:rPr>
              <w:t xml:space="preserve"/>
            </w:r>
          </w:p>
          <w:p>
            <w:pPr>
              <w:spacing w:after="120"/>
            </w:pPr>
            <w:r>
              <w:rPr>
                <w:rFonts w:ascii="Calibri" w:cs="Calibri" w:eastAsia="Calibri" w:hAnsi="Calibri"/>
                <w:sz w:val="22"/>
                <w:szCs w:val="22"/>
              </w:rPr>
              <w:t xml:space="preserve"/>
            </w:r>
          </w:p>
          <w:p>
            <w:r>
              <w:rPr>
                <w:rFonts w:ascii="Calibri" w:cs="Calibri" w:eastAsia="Calibri" w:hAnsi="Calibri"/>
                <w:sz w:val="22"/>
                <w:szCs w:val="22"/>
              </w:rPr>
              <w:t xml:space="preserve"/>
            </w:r>
          </w:p>
        </w:tc>
      </w:tr>
    </w:tbl>
    <w:p>
      <w:pPr>
        <w:pStyle w:val="Heading2"/>
        <w:keepNext/>
        <w:pageBreakBefore/>
        <w:spacing w:after="140"/>
      </w:pPr>
      <w:r>
        <w:rPr>
          <w:rFonts w:ascii="Calibri" w:cs="Calibri" w:eastAsia="Calibri" w:hAnsi="Calibri"/>
          <w:b/>
          <w:bCs/>
          <w:color w:val="102B3F"/>
          <w:sz w:val="26"/>
          <w:szCs w:val="26"/>
        </w:rPr>
        <w:t xml:space="preserve">LAW.PH PRE-SIGNING GUIDANCE — NOT PART OF THE EXECUTION INSTRUMENT</w:t>
      </w:r>
    </w:p>
    <w:p>
      <w:pPr>
        <w:keepNext/>
        <w:spacing w:after="220" w:line="252"/>
      </w:pPr>
      <w:r>
        <w:rPr>
          <w:rFonts w:ascii="Calibri" w:cs="Calibri" w:eastAsia="Calibri" w:hAnsi="Calibri"/>
          <w:b/>
          <w:bCs/>
          <w:color w:val="8A5A12"/>
          <w:sz w:val="20"/>
          <w:szCs w:val="20"/>
        </w:rPr>
        <w:t xml:space="preserve">The draft instrument ends before this page. The checklist and legal-source record that follow are preparation guidance only: they are not promises, recitals, schedules, annexes, exhibits, attestations, acknowledgments, jurats, or other operative parts of the instrument, and they must not be included in its execution page count.</w:t>
      </w:r>
    </w:p>
    <w:p>
      <w:pPr>
        <w:pStyle w:val="Heading2"/>
        <w:keepNext/>
        <w:spacing w:after="140" w:before="120"/>
      </w:pPr>
      <w:r>
        <w:rPr>
          <w:rFonts w:ascii="Calibri" w:cs="Calibri" w:eastAsia="Calibri" w:hAnsi="Calibri"/>
          <w:b/>
          <w:bCs/>
          <w:color w:val="102B3F"/>
          <w:sz w:val="26"/>
          <w:szCs w:val="26"/>
        </w:rPr>
        <w:t xml:space="preserve">PRE-SIGNING CHECKLIST</w:t>
      </w:r>
    </w:p>
    <w:p>
      <w:pPr>
        <w:pStyle w:val="ListParagraph"/>
        <w:keepNext/>
        <w:numPr>
          <w:ilvl w:val="0"/>
          <w:numId w:val="1"/>
        </w:numPr>
        <w:spacing w:after="120" w:line="264"/>
      </w:pPr>
      <w:r>
        <w:rPr>
          <w:rFonts w:ascii="Calibri" w:cs="Calibri" w:eastAsia="Calibri" w:hAnsi="Calibri"/>
          <w:sz w:val="22"/>
          <w:szCs w:val="22"/>
        </w:rPr>
        <w:t xml:space="preserve">Do not sign before actual receipt. Confirm the date, time, place, delivery channel, exact subject, amount, identifiers, and condition against independent evidence.</w:t>
      </w:r>
    </w:p>
    <w:p>
      <w:pPr>
        <w:pStyle w:val="ListParagraph"/>
        <w:keepNext/>
        <w:numPr>
          <w:ilvl w:val="0"/>
          <w:numId w:val="1"/>
        </w:numPr>
        <w:spacing w:after="120" w:line="264"/>
      </w:pPr>
      <w:r>
        <w:rPr>
          <w:rFonts w:ascii="Calibri" w:cs="Calibri" w:eastAsia="Calibri" w:hAnsi="Calibri"/>
          <w:sz w:val="22"/>
          <w:szCs w:val="22"/>
        </w:rPr>
        <w:t xml:space="preserve">Verify the receiver's authority to accept and issue the receipt and the provider's authority when either acts for an entity or another person.</w:t>
      </w:r>
    </w:p>
    <w:p>
      <w:pPr>
        <w:pStyle w:val="ListParagraph"/>
        <w:keepNext/>
        <w:numPr>
          <w:ilvl w:val="0"/>
          <w:numId w:val="1"/>
        </w:numPr>
        <w:spacing w:after="120" w:line="264"/>
      </w:pPr>
      <w:r>
        <w:rPr>
          <w:rFonts w:ascii="Calibri" w:cs="Calibri" w:eastAsia="Calibri" w:hAnsi="Calibri"/>
          <w:sz w:val="22"/>
          <w:szCs w:val="22"/>
        </w:rPr>
        <w:t xml:space="preserve">For a check or payment instrument, acknowledge only the instrument until funds clear. Retain the cleared-check image, bank statement, wallet record, or reversal evidence.</w:t>
      </w:r>
    </w:p>
    <w:p>
      <w:pPr>
        <w:pStyle w:val="ListParagraph"/>
        <w:keepNext/>
        <w:numPr>
          <w:ilvl w:val="0"/>
          <w:numId w:val="1"/>
        </w:numPr>
        <w:spacing w:after="120" w:line="264"/>
      </w:pPr>
      <w:r>
        <w:rPr>
          <w:rFonts w:ascii="Calibri" w:cs="Calibri" w:eastAsia="Calibri" w:hAnsi="Calibri"/>
          <w:sz w:val="22"/>
          <w:szCs w:val="22"/>
        </w:rPr>
        <w:t xml:space="preserve">For partial payment, reconcile the verified total, prior credits, current amount, exact application, and remaining balance. Do not label it paid in full.</w:t>
      </w:r>
    </w:p>
    <w:p>
      <w:pPr>
        <w:pStyle w:val="ListParagraph"/>
        <w:keepNext/>
        <w:numPr>
          <w:ilvl w:val="0"/>
          <w:numId w:val="1"/>
        </w:numPr>
        <w:spacing w:after="120" w:line="264"/>
      </w:pPr>
      <w:r>
        <w:rPr>
          <w:rFonts w:ascii="Calibri" w:cs="Calibri" w:eastAsia="Calibri" w:hAnsi="Calibri"/>
          <w:sz w:val="22"/>
          <w:szCs w:val="22"/>
        </w:rPr>
        <w:t xml:space="preserve">Use paid-in-full wording only for one exact reconciled obligation. Do not convert it into a general quitclaim, release, settlement, waiver, or admission.</w:t>
      </w:r>
    </w:p>
    <w:p>
      <w:pPr>
        <w:pStyle w:val="ListParagraph"/>
        <w:keepNext/>
        <w:numPr>
          <w:ilvl w:val="0"/>
          <w:numId w:val="1"/>
        </w:numPr>
        <w:spacing w:after="120" w:line="264"/>
      </w:pPr>
      <w:r>
        <w:rPr>
          <w:rFonts w:ascii="Calibri" w:cs="Calibri" w:eastAsia="Calibri" w:hAnsi="Calibri"/>
          <w:sz w:val="22"/>
          <w:szCs w:val="22"/>
        </w:rPr>
        <w:t xml:space="preserve">A receipt tied to real property, employment final pay, securities, litigation, settlement, a regulated transaction, or government process does not replace the specialist principal instrument and review.</w:t>
      </w:r>
    </w:p>
    <w:p>
      <w:pPr>
        <w:pStyle w:val="ListParagraph"/>
        <w:keepNext/>
        <w:numPr>
          <w:ilvl w:val="0"/>
          <w:numId w:val="1"/>
        </w:numPr>
        <w:spacing w:after="120" w:line="264"/>
      </w:pPr>
      <w:r>
        <w:rPr>
          <w:rFonts w:ascii="Calibri" w:cs="Calibri" w:eastAsia="Calibri" w:hAnsi="Calibri"/>
          <w:sz w:val="22"/>
          <w:szCs w:val="22"/>
        </w:rPr>
        <w:t xml:space="preserve">For goods, property, documents, records, keys, or credentials, attach an inventory or schedule when needed and preserve serial numbers, copy/original status, condition, custody, and return evidence.</w:t>
      </w:r>
    </w:p>
    <w:p>
      <w:pPr>
        <w:pStyle w:val="ListParagraph"/>
        <w:keepNext/>
        <w:numPr>
          <w:ilvl w:val="0"/>
          <w:numId w:val="1"/>
        </w:numPr>
        <w:spacing w:after="120" w:line="264"/>
      </w:pPr>
      <w:r>
        <w:rPr>
          <w:rFonts w:ascii="Calibri" w:cs="Calibri" w:eastAsia="Calibri" w:hAnsi="Calibri"/>
          <w:sz w:val="22"/>
          <w:szCs w:val="22"/>
        </w:rPr>
        <w:t xml:space="preserve">For a taxable sale, service, lease, or other business transaction, issue and preserve the required BIR invoice. This acknowledgment is only supplementary unless it independently meets every current invoice requirement and is lawfully issued as such.</w:t>
      </w:r>
    </w:p>
    <w:p>
      <w:pPr>
        <w:pStyle w:val="ListParagraph"/>
        <w:keepNext/>
        <w:numPr>
          <w:ilvl w:val="0"/>
          <w:numId w:val="1"/>
        </w:numPr>
        <w:spacing w:after="120" w:line="264"/>
      </w:pPr>
      <w:r>
        <w:rPr>
          <w:rFonts w:ascii="Calibri" w:cs="Calibri" w:eastAsia="Calibri" w:hAnsi="Calibri"/>
          <w:sz w:val="22"/>
          <w:szCs w:val="22"/>
        </w:rPr>
        <w:t xml:space="preserve">Keep the bold legend "THIS DOCUMENT IS NOT VALID FOR CLAIM OF INPUT TAX." conspicuously on the face of the printed or electronic receipt (BIR RR 7-2024 Sec. 6(B)(15)).</w:t>
      </w:r>
    </w:p>
    <w:p>
      <w:pPr>
        <w:pStyle w:val="ListParagraph"/>
        <w:keepNext/>
        <w:numPr>
          <w:ilvl w:val="0"/>
          <w:numId w:val="1"/>
        </w:numPr>
        <w:spacing w:after="120" w:line="264"/>
      </w:pPr>
      <w:r>
        <w:rPr>
          <w:rFonts w:ascii="Calibri" w:cs="Calibri" w:eastAsia="Calibri" w:hAnsi="Calibri"/>
          <w:sz w:val="22"/>
          <w:szCs w:val="22"/>
        </w:rPr>
        <w:t xml:space="preserve">For a partial payment, keep the reservation of interest, charges, and earlier installments; without it, accepting principal or a later installment can raise a presumption that interest or earlier installments were paid (Civil Code Article 1176).</w:t>
      </w:r>
    </w:p>
    <w:p>
      <w:pPr>
        <w:pStyle w:val="ListParagraph"/>
        <w:keepNext/>
        <w:numPr>
          <w:ilvl w:val="0"/>
          <w:numId w:val="1"/>
        </w:numPr>
        <w:spacing w:after="120" w:line="264"/>
      </w:pPr>
      <w:r>
        <w:rPr>
          <w:rFonts w:ascii="Calibri" w:cs="Calibri" w:eastAsia="Calibri" w:hAnsi="Calibri"/>
          <w:sz w:val="22"/>
          <w:szCs w:val="22"/>
        </w:rPr>
        <w:t xml:space="preserve">Give each signer the same completed version. Preserve wet originals or the complete electronic document, identity/signature evidence, delivery record, and integrity audit trail.</w:t>
      </w:r>
    </w:p>
    <w:p>
      <w:pPr>
        <w:pStyle w:val="ListParagraph"/>
        <w:keepNext w:val="false"/>
        <w:numPr>
          <w:ilvl w:val="0"/>
          <w:numId w:val="1"/>
        </w:numPr>
        <w:spacing w:after="120" w:line="264"/>
      </w:pPr>
      <w:r>
        <w:rPr>
          <w:rFonts w:ascii="Calibri" w:cs="Calibri" w:eastAsia="Calibri" w:hAnsi="Calibri"/>
          <w:sz w:val="22"/>
          <w:szCs w:val="22"/>
        </w:rPr>
        <w:t xml:space="preserve">Escalate disputed amounts, alleged forgery, reversal, unauthorized representatives, real-property rights, employment waivers, securities, regulated receipts, tax documentation, or litigation settlements to appropriate Philippine counsel or the responsible agency.</w:t>
      </w:r>
    </w:p>
    <w:p>
      <w:pPr>
        <w:pStyle w:val="Heading2"/>
        <w:keepNext/>
        <w:pageBreakBefore/>
        <w:spacing w:after="140"/>
      </w:pPr>
      <w:r>
        <w:rPr>
          <w:rFonts w:ascii="Calibri" w:cs="Calibri" w:eastAsia="Calibri" w:hAnsi="Calibri"/>
          <w:b/>
          <w:bCs/>
          <w:color w:val="102B3F"/>
          <w:sz w:val="26"/>
          <w:szCs w:val="26"/>
        </w:rPr>
        <w:t xml:space="preserve">TEMPLATE AND LEGAL SOURCE RECORD — NOT PART OF THE INSTRUMENT</w:t>
      </w:r>
    </w:p>
    <w:p>
      <w:pPr>
        <w:spacing w:after="220" w:line="240"/>
      </w:pPr>
      <w:r>
        <w:rPr>
          <w:rFonts w:ascii="Calibri" w:cs="Calibri" w:eastAsia="Calibri" w:hAnsi="Calibri"/>
          <w:color w:val="566674"/>
          <w:sz w:val="18"/>
          <w:szCs w:val="18"/>
        </w:rPr>
        <w:t xml:space="preserve">Template v0.2.0 | Republic of the Philippines | Effective 2026-08-31 onward, subject to the recorded review cycle | Independent Philippine lawyer review pending | Last legal check 2026-10-01 | Next review due 2027-01-01</w:t>
      </w:r>
    </w:p>
    <w:p>
      <w:pPr>
        <w:keepNext/>
        <w:spacing w:after="60" w:before="100"/>
      </w:pPr>
      <w:r>
        <w:rPr>
          <w:rFonts w:ascii="Calibri" w:cs="Calibri" w:eastAsia="Calibri" w:hAnsi="Calibri"/>
          <w:b/>
          <w:bCs/>
          <w:sz w:val="18"/>
          <w:szCs w:val="18"/>
        </w:rPr>
        <w:t xml:space="preserve">Republic Act No. 386 — Civil Code of the Philippines - Articles 1176, 1232–1235, 1240–1242, 1249, and 1252–1256 — presumption of payment of interest and earlier installments absent reservation, payment, acceptance of incomplete performance, proper recipient, checks and mercantile documents, application of payments, and receipt/consignation rules (checked 2026-10-01)</w:t>
      </w:r>
    </w:p>
    <w:p>
      <w:pPr>
        <w:spacing w:after="120"/>
      </w:pPr>
      <w:hyperlink w:history="1" r:id="rIdrlofg6dkydwsu9bnejiyv">
        <w:r>
          <w:rPr>
            <w:rFonts w:ascii="Calibri" w:cs="Calibri" w:eastAsia="Calibri" w:hAnsi="Calibri"/>
            <w:color w:val="315B75"/>
            <w:sz w:val="17"/>
            <w:szCs w:val="17"/>
            <w:u w:val="single"/>
          </w:rPr>
          <w:t xml:space="preserve">https://lawphil.net/statutes/repacts/ra1949/ra_386_1949.html</w:t>
        </w:r>
      </w:hyperlink>
    </w:p>
    <w:p>
      <w:pPr>
        <w:keepNext/>
        <w:spacing w:after="60" w:before="100"/>
      </w:pPr>
      <w:r>
        <w:rPr>
          <w:rFonts w:ascii="Calibri" w:cs="Calibri" w:eastAsia="Calibri" w:hAnsi="Calibri"/>
          <w:b/>
          <w:bCs/>
          <w:sz w:val="18"/>
          <w:szCs w:val="18"/>
        </w:rPr>
        <w:t xml:space="preserve">Republic Act No. 8792 — Electronic Commerce Act - Sections 6–12 — legal recognition, integrity, authentication, signatures, originals, and retention of electronic documents (checked 2026-08-31)</w:t>
      </w:r>
    </w:p>
    <w:p>
      <w:pPr>
        <w:spacing w:after="120"/>
      </w:pPr>
      <w:hyperlink w:history="1" r:id="rIdoc-xgh21qxzwydvft5oaw">
        <w:r>
          <w:rPr>
            <w:rFonts w:ascii="Calibri" w:cs="Calibri" w:eastAsia="Calibri" w:hAnsi="Calibri"/>
            <w:color w:val="315B75"/>
            <w:sz w:val="17"/>
            <w:szCs w:val="17"/>
            <w:u w:val="single"/>
          </w:rPr>
          <w:t xml:space="preserve">https://lawphil.net/statutes/repacts/ra2000/ra_8792_2000.html</w:t>
        </w:r>
      </w:hyperlink>
    </w:p>
    <w:p>
      <w:pPr>
        <w:keepNext/>
        <w:spacing w:after="60" w:before="100"/>
      </w:pPr>
      <w:r>
        <w:rPr>
          <w:rFonts w:ascii="Calibri" w:cs="Calibri" w:eastAsia="Calibri" w:hAnsi="Calibri"/>
          <w:b/>
          <w:bCs/>
          <w:sz w:val="18"/>
          <w:szCs w:val="18"/>
        </w:rPr>
        <w:t xml:space="preserve">Republic Act No. 11976 — Ease of Paying Taxes Act - Current invoice-centered documentation framework under amended NIRC Sections 113 and 237 (checked 2026-08-31)</w:t>
      </w:r>
    </w:p>
    <w:p>
      <w:pPr>
        <w:spacing w:after="120"/>
      </w:pPr>
      <w:hyperlink w:history="1" r:id="rIde6gqlfzetudqdypigwnqu">
        <w:r>
          <w:rPr>
            <w:rFonts w:ascii="Calibri" w:cs="Calibri" w:eastAsia="Calibri" w:hAnsi="Calibri"/>
            <w:color w:val="315B75"/>
            <w:sz w:val="17"/>
            <w:szCs w:val="17"/>
            <w:u w:val="single"/>
          </w:rPr>
          <w:t xml:space="preserve">https://lawphil.net/statutes/repacts/ra2024/ra_11976_2024.html</w:t>
        </w:r>
      </w:hyperlink>
    </w:p>
    <w:p>
      <w:pPr>
        <w:keepNext/>
        <w:spacing w:after="60" w:before="100"/>
      </w:pPr>
      <w:r>
        <w:rPr>
          <w:rFonts w:ascii="Calibri" w:cs="Calibri" w:eastAsia="Calibri" w:hAnsi="Calibri"/>
          <w:b/>
          <w:bCs/>
          <w:sz w:val="18"/>
          <w:szCs w:val="18"/>
        </w:rPr>
        <w:t xml:space="preserve">BIR Revenue Regulations No. 7-2024 - EOPT registration and invoicing rules; supplementary documents such as acknowledgment or cash receipts are not invoices unless they contain all required invoice information; Sec. 6(B)(15) requires supplementary documents, including acknowledgment receipts, to print "THIS DOCUMENT IS NOT VALID FOR CLAIM OF INPUT TAX." in bold (checked 2026-10-01)</w:t>
      </w:r>
    </w:p>
    <w:p>
      <w:pPr>
        <w:spacing w:after="120"/>
      </w:pPr>
      <w:hyperlink w:history="1" r:id="rIdmxvp1ylalyujbdjgaxqmj">
        <w:r>
          <w:rPr>
            <w:rFonts w:ascii="Calibri" w:cs="Calibri" w:eastAsia="Calibri" w:hAnsi="Calibri"/>
            <w:color w:val="315B75"/>
            <w:sz w:val="17"/>
            <w:szCs w:val="17"/>
            <w:u w:val="single"/>
          </w:rPr>
          <w:t xml:space="preserve">https://bir-cdn.bir.gov.ph/BIR/pdf/RR%20No.%207-%202024.pdf</w:t>
        </w:r>
      </w:hyperlink>
    </w:p>
    <w:p>
      <w:pPr>
        <w:keepNext/>
        <w:spacing w:after="60" w:before="100"/>
      </w:pPr>
      <w:r>
        <w:rPr>
          <w:rFonts w:ascii="Calibri" w:cs="Calibri" w:eastAsia="Calibri" w:hAnsi="Calibri"/>
          <w:b/>
          <w:bCs/>
          <w:sz w:val="18"/>
          <w:szCs w:val="18"/>
        </w:rPr>
        <w:t xml:space="preserve">BIR Revenue Memorandum Circular No. 77-2024 - Clarifications and sample formats for invoice requirements after the EOPT Act (checked 2026-08-31)</w:t>
      </w:r>
    </w:p>
    <w:p>
      <w:pPr>
        <w:spacing w:after="120"/>
      </w:pPr>
      <w:hyperlink w:history="1" r:id="rIdr5ohyyy99lxttutoq6uga">
        <w:r>
          <w:rPr>
            <w:rFonts w:ascii="Calibri" w:cs="Calibri" w:eastAsia="Calibri" w:hAnsi="Calibri"/>
            <w:color w:val="315B75"/>
            <w:sz w:val="17"/>
            <w:szCs w:val="17"/>
            <w:u w:val="single"/>
          </w:rPr>
          <w:t xml:space="preserve">https://bir-cdn.bir.gov.ph/BIR/pdf/RMC%20No.%2077-2024.pdf</w:t>
        </w:r>
      </w:hyperlink>
    </w:p>
    <w:p>
      <w:pPr>
        <w:keepNext/>
        <w:spacing w:after="60" w:before="100"/>
      </w:pPr>
      <w:r>
        <w:rPr>
          <w:rFonts w:ascii="Calibri" w:cs="Calibri" w:eastAsia="Calibri" w:hAnsi="Calibri"/>
          <w:b/>
          <w:bCs/>
          <w:sz w:val="18"/>
          <w:szCs w:val="18"/>
        </w:rPr>
        <w:t xml:space="preserve">Towne &amp; City Development Corp. v. Court of Appeals, G.R. No. 135043 - A receipt is a written and signed acknowledgment of delivered money or goods; it is strong but not conclusive evidence; checks ordinarily produce payment effect only when cashed (checked 2026-08-31)</w:t>
      </w:r>
    </w:p>
    <w:p>
      <w:pPr>
        <w:spacing w:after="120"/>
      </w:pPr>
      <w:hyperlink w:history="1" r:id="rId-lnhz_1reaeesoxjd9xcj">
        <w:r>
          <w:rPr>
            <w:rFonts w:ascii="Calibri" w:cs="Calibri" w:eastAsia="Calibri" w:hAnsi="Calibri"/>
            <w:color w:val="315B75"/>
            <w:sz w:val="17"/>
            <w:szCs w:val="17"/>
            <w:u w:val="single"/>
          </w:rPr>
          <w:t xml:space="preserve">https://elibrary.judiciary.gov.ph/thebookshelf/showdocs/1/45396</w:t>
        </w:r>
      </w:hyperlink>
    </w:p>
    <w:p>
      <w:pPr>
        <w:keepNext/>
        <w:spacing w:after="60" w:before="100"/>
      </w:pPr>
      <w:r>
        <w:rPr>
          <w:rFonts w:ascii="Calibri" w:cs="Calibri" w:eastAsia="Calibri" w:hAnsi="Calibri"/>
          <w:b/>
          <w:bCs/>
          <w:sz w:val="18"/>
          <w:szCs w:val="18"/>
        </w:rPr>
        <w:t xml:space="preserve">San Lorenzo Development Corp. v. Court of Appeals, G.R. No. 124242 - A receipt's wording and surrounding transaction can carry contractual consequences; partial real-property payment did not itself establish full payment or present title transfer (checked 2026-08-31)</w:t>
      </w:r>
    </w:p>
    <w:p>
      <w:pPr>
        <w:spacing w:after="120"/>
      </w:pPr>
      <w:hyperlink w:history="1" r:id="rIdrs7w8b35eito0tmgwly9n">
        <w:r>
          <w:rPr>
            <w:rFonts w:ascii="Calibri" w:cs="Calibri" w:eastAsia="Calibri" w:hAnsi="Calibri"/>
            <w:color w:val="315B75"/>
            <w:sz w:val="17"/>
            <w:szCs w:val="17"/>
            <w:u w:val="single"/>
          </w:rPr>
          <w:t xml:space="preserve">https://elibrary.judiciary.gov.ph/thebookshelf/showdocs/1/41116</w:t>
        </w:r>
      </w:hyperlink>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87783"/>
        <w:sz w:val="16"/>
        <w:szCs w:val="16"/>
      </w:rPr>
      <w:t xml:space="preserve">LAW.PH · Template v0.2.0 · REVIEW PENDING · Page </w:t>
    </w:r>
    <w:r>
      <w:rPr>
        <w:color w:val="687783"/>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line="264"/>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jc w:val="center"/>
    </w:pPr>
    <w:rPr>
      <w:rFonts w:ascii="Calibri" w:cs="Calibri" w:eastAsia="Calibri" w:hAnsi="Calibri"/>
      <w:b/>
      <w:bCs/>
      <w:color w:val="102B3F"/>
      <w:sz w:val="30"/>
      <w:szCs w:val="3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lofg6dkydwsu9bnejiyv" Type="http://schemas.openxmlformats.org/officeDocument/2006/relationships/hyperlink" Target="https://lawphil.net/statutes/repacts/ra1949/ra_386_1949.html" TargetMode="External"/><Relationship Id="rIdoc-xgh21qxzwydvft5oaw" Type="http://schemas.openxmlformats.org/officeDocument/2006/relationships/hyperlink" Target="https://lawphil.net/statutes/repacts/ra2000/ra_8792_2000.html" TargetMode="External"/><Relationship Id="rIde6gqlfzetudqdypigwnqu" Type="http://schemas.openxmlformats.org/officeDocument/2006/relationships/hyperlink" Target="https://lawphil.net/statutes/repacts/ra2024/ra_11976_2024.html" TargetMode="External"/><Relationship Id="rIdmxvp1ylalyujbdjgaxqmj" Type="http://schemas.openxmlformats.org/officeDocument/2006/relationships/hyperlink" Target="https://bir-cdn.bir.gov.ph/BIR/pdf/RR%20No.%207-%202024.pdf" TargetMode="External"/><Relationship Id="rIdr5ohyyy99lxttutoq6uga" Type="http://schemas.openxmlformats.org/officeDocument/2006/relationships/hyperlink" Target="https://bir-cdn.bir.gov.ph/BIR/pdf/RMC%20No.%2077-2024.pdf" TargetMode="External"/><Relationship Id="rId-lnhz_1reaeesoxjd9xcj" Type="http://schemas.openxmlformats.org/officeDocument/2006/relationships/hyperlink" Target="https://elibrary.judiciary.gov.ph/thebookshelf/showdocs/1/45396" TargetMode="External"/><Relationship Id="rIdrs7w8b35eito0tmgwly9n" Type="http://schemas.openxmlformats.org/officeDocument/2006/relationships/hyperlink" Target="https://elibrary.judiciary.gov.ph/thebookshelf/showdocs/1/41116" TargetMode="External"/><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ACKNOWLEDGMENT RECEIPT</dc:title>
  <dc:creator>LAW.PH</dc:creator>
  <dc:description>Free sample of the Acknowledgment Receipt from LAW.PH, with fictional details</dc:description>
  <cp:lastModifiedBy>Un-named</cp:lastModifiedBy>
  <cp:revision>1</cp:revision>
  <dcterms:created xsi:type="dcterms:W3CDTF">2026-10-02T05:29:57.851Z</dcterms:created>
  <dcterms:modified xsi:type="dcterms:W3CDTF">2026-10-02T05:29:57.851Z</dcterms:modified>
</cp:coreProperties>
</file>

<file path=docProps/custom.xml><?xml version="1.0" encoding="utf-8"?>
<Properties xmlns="http://schemas.openxmlformats.org/officeDocument/2006/custom-properties" xmlns:vt="http://schemas.openxmlformats.org/officeDocument/2006/docPropsVTypes"/>
</file>