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AFFIDAVIT OF DISCREPANCY AND ONE AND THE SAME PERSON</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REPUBLIC OF THE PHILIPPINES )</w:t>
      </w:r>
    </w:p>
    <w:p>
      <w:pPr>
        <w:keepLines/>
        <w:spacing w:after="120" w:line="264"/>
        <w:jc w:val="both"/>
      </w:pPr>
      <w:r>
        <w:rPr>
          <w:rFonts w:ascii="Calibri" w:cs="Calibri" w:eastAsia="Calibri" w:hAnsi="Calibri"/>
          <w:sz w:val="22"/>
          <w:szCs w:val="22"/>
        </w:rPr>
        <w:t xml:space="preserve">MAKATI CITY ) S.S.</w:t>
      </w:r>
    </w:p>
    <w:p>
      <w:pPr>
        <w:pStyle w:val="Heading2"/>
        <w:keepNext/>
        <w:spacing w:after="120" w:before="240"/>
      </w:pPr>
      <w:r>
        <w:rPr>
          <w:rFonts w:ascii="Calibri" w:cs="Calibri" w:eastAsia="Calibri" w:hAnsi="Calibri"/>
          <w:b/>
          <w:bCs/>
          <w:color w:val="102B3F"/>
          <w:sz w:val="26"/>
          <w:szCs w:val="26"/>
        </w:rPr>
        <w:t xml:space="preserve">SWORN STATEMENT</w:t>
      </w:r>
    </w:p>
    <w:p>
      <w:pPr>
        <w:keepLines/>
        <w:spacing w:after="120" w:line="264"/>
        <w:jc w:val="both"/>
      </w:pPr>
      <w:r>
        <w:rPr>
          <w:rFonts w:ascii="Calibri" w:cs="Calibri" w:eastAsia="Calibri" w:hAnsi="Calibri"/>
          <w:sz w:val="22"/>
          <w:szCs w:val="22"/>
        </w:rPr>
        <w:t xml:space="preserve">I, Maria Luz Santos, Filipino, of legal age, single, and residing at 100 Ayala Avenue, Makati City 1226, after having been duly sworn in accordance with law, depose and state:</w:t>
      </w:r>
    </w:p>
    <w:p>
      <w:pPr>
        <w:keepLines/>
        <w:spacing w:after="120" w:line="264"/>
        <w:jc w:val="both"/>
      </w:pPr>
      <w:r>
        <w:rPr>
          <w:rFonts w:ascii="Calibri" w:cs="Calibri" w:eastAsia="Calibri" w:hAnsi="Calibri"/>
          <w:sz w:val="22"/>
          <w:szCs w:val="22"/>
        </w:rPr>
        <w:t xml:space="preserve">1. I am the person to whom both records identified below refer, and I personally know my own identifying facts.</w:t>
      </w:r>
    </w:p>
    <w:p>
      <w:pPr>
        <w:keepLines/>
        <w:spacing w:after="120" w:line="264"/>
        <w:jc w:val="both"/>
      </w:pPr>
      <w:r>
        <w:rPr>
          <w:rFonts w:ascii="Calibri" w:cs="Calibri" w:eastAsia="Calibri" w:hAnsi="Calibri"/>
          <w:sz w:val="22"/>
          <w:szCs w:val="22"/>
        </w:rPr>
        <w:t xml:space="preserve">2. The discrepancy concerns Maria Luz Santos and the field “Complete name.” PSA-issued Certificate of Live Birth, issued by Philippine Statistics Authority / City Civil Registry Office of Manila, reference Registry No. 1990-12345, issued July 10, 2026, states the Complete name as “MARIA LUZ REYES SANTOS.”</w:t>
      </w:r>
    </w:p>
    <w:p>
      <w:pPr>
        <w:keepLines/>
        <w:spacing w:after="120" w:line="264"/>
        <w:jc w:val="both"/>
      </w:pPr>
      <w:r>
        <w:rPr>
          <w:rFonts w:ascii="Calibri" w:cs="Calibri" w:eastAsia="Calibri" w:hAnsi="Calibri"/>
          <w:sz w:val="22"/>
          <w:szCs w:val="22"/>
        </w:rPr>
        <w:t xml:space="preserve">3. Professional Identification Card, issued by Professional Regulation Commission, reference PIC ending 4321, issued March 1, 2025, states the Complete name as “MARIA L. R. SANTOS.”</w:t>
      </w:r>
    </w:p>
    <w:p>
      <w:pPr>
        <w:keepLines/>
        <w:spacing w:after="120" w:line="264"/>
        <w:jc w:val="both"/>
      </w:pPr>
      <w:r>
        <w:rPr>
          <w:rFonts w:ascii="Calibri" w:cs="Calibri" w:eastAsia="Calibri" w:hAnsi="Calibri"/>
          <w:sz w:val="22"/>
          <w:szCs w:val="22"/>
        </w:rPr>
        <w:t xml:space="preserve">4. I am not relying on an additional inconsistent record beyond the records and evidence expressly identified in this Affidavit.</w:t>
      </w:r>
    </w:p>
    <w:p>
      <w:pPr>
        <w:keepLines/>
        <w:spacing w:after="120" w:line="264"/>
        <w:jc w:val="both"/>
      </w:pPr>
      <w:r>
        <w:rPr>
          <w:rFonts w:ascii="Calibri" w:cs="Calibri" w:eastAsia="Calibri" w:hAnsi="Calibri"/>
          <w:sz w:val="22"/>
          <w:szCs w:val="22"/>
        </w:rPr>
        <w:t xml:space="preserve">5. I truthfully assert that the correct entry is “MARIA LUZ REYES SANTOS.” The strongest existing basis is: PSA-certified Certificate of Live Birth, Registry No. 1990-12345, supported by the original local civil-registry entry</w:t>
      </w:r>
    </w:p>
    <w:p>
      <w:pPr>
        <w:keepLines/>
        <w:spacing w:after="120" w:line="264"/>
        <w:jc w:val="both"/>
      </w:pPr>
      <w:r>
        <w:rPr>
          <w:rFonts w:ascii="Calibri" w:cs="Calibri" w:eastAsia="Calibri" w:hAnsi="Calibri"/>
          <w:sz w:val="22"/>
          <w:szCs w:val="22"/>
        </w:rPr>
        <w:t xml:space="preserve">6. The other supporting evidence and the fact established by each item are: Current passport shows MARIA LUZ REYES SANTOS; school records consistently show the same complete name</w:t>
      </w:r>
    </w:p>
    <w:p>
      <w:pPr>
        <w:keepLines/>
        <w:spacing w:after="120" w:line="264"/>
        <w:jc w:val="both"/>
      </w:pPr>
      <w:r>
        <w:rPr>
          <w:rFonts w:ascii="Calibri" w:cs="Calibri" w:eastAsia="Calibri" w:hAnsi="Calibri"/>
          <w:sz w:val="22"/>
          <w:szCs w:val="22"/>
        </w:rPr>
        <w:t xml:space="preserve">7. The factual history and explanation of the discrepancy are: The shortened middle names appear only on the professional card. I do not know why the issuer abbreviated them, and I make no claim beyond what the genuine records show.</w:t>
      </w:r>
    </w:p>
    <w:p>
      <w:pPr>
        <w:keepLines/>
        <w:spacing w:after="120" w:line="264"/>
        <w:jc w:val="both"/>
      </w:pPr>
      <w:r>
        <w:rPr>
          <w:rFonts w:ascii="Calibri" w:cs="Calibri" w:eastAsia="Calibri" w:hAnsi="Calibri"/>
          <w:sz w:val="22"/>
          <w:szCs w:val="22"/>
        </w:rPr>
        <w:t xml:space="preserve">8. Based on my personal knowledge and the genuine records identified above, the differently stated entries refer to one and the same person, Maria Luz Santos. I am not using this statement to create an alias, assume another identity, or conceal a contrary record, disqualification, investigation, or dispute.</w:t>
      </w:r>
    </w:p>
    <w:p>
      <w:pPr>
        <w:keepLines/>
        <w:spacing w:after="120" w:line="264"/>
        <w:jc w:val="both"/>
      </w:pPr>
      <w:r>
        <w:rPr>
          <w:rFonts w:ascii="Calibri" w:cs="Calibri" w:eastAsia="Calibri" w:hAnsi="Calibri"/>
          <w:sz w:val="22"/>
          <w:szCs w:val="22"/>
        </w:rPr>
        <w:t xml:space="preserve">9. I execute this Affidavit for submission to Professional Regulation Commission for this specific lawful purpose: To support the verified correction of my professional identification record. I request only that the recipient evaluate it with the attached evidence and the recipient's governing process.</w:t>
      </w:r>
    </w:p>
    <w:p>
      <w:pPr>
        <w:keepLines/>
        <w:spacing w:after="120" w:line="264"/>
        <w:jc w:val="both"/>
      </w:pPr>
      <w:r>
        <w:rPr>
          <w:rFonts w:ascii="Calibri" w:cs="Calibri" w:eastAsia="Calibri" w:hAnsi="Calibri"/>
          <w:sz w:val="22"/>
          <w:szCs w:val="22"/>
        </w:rPr>
        <w:t xml:space="preserve">10. I understand that this Affidavit does not itself amend, cancel, supersede, or compel acceptance of a civil-registry entry, passport, license, school, employment, benefits, tax, financial, land, transport, court, or other record. Any correction remains subject to the authorized registrar, agency, or court process.</w:t>
      </w:r>
    </w:p>
    <w:p>
      <w:pPr>
        <w:keepLines/>
        <w:spacing w:after="120" w:line="264"/>
        <w:jc w:val="both"/>
      </w:pPr>
      <w:r>
        <w:rPr>
          <w:rFonts w:ascii="Calibri" w:cs="Calibri" w:eastAsia="Calibri" w:hAnsi="Calibri"/>
          <w:sz w:val="22"/>
          <w:szCs w:val="22"/>
        </w:rPr>
        <w:t xml:space="preserve">11. I have read and understood this Affidavit. Its material statements are true and complete based on my personal knowledge and the records expressly identified. I understand that a knowingly untruthful material statement under oath for a legal purpose may result in criminal and other liability.</w:t>
      </w:r>
    </w:p>
    <w:p>
      <w:pPr>
        <w:pStyle w:val="Heading2"/>
        <w:keepNext/>
        <w:spacing w:after="120" w:before="240"/>
      </w:pPr>
      <w:r>
        <w:rPr>
          <w:rFonts w:ascii="Calibri" w:cs="Calibri" w:eastAsia="Calibri" w:hAnsi="Calibri"/>
          <w:b/>
          <w:bCs/>
          <w:color w:val="102B3F"/>
          <w:sz w:val="26"/>
          <w:szCs w:val="26"/>
        </w:rPr>
        <w:t xml:space="preserve">CIVIL-REGISTRY RECORD</w:t>
      </w:r>
    </w:p>
    <w:p>
      <w:pPr>
        <w:keepLines/>
        <w:spacing w:after="120" w:line="264"/>
        <w:jc w:val="both"/>
      </w:pPr>
      <w:r>
        <w:rPr>
          <w:rFonts w:ascii="Calibri" w:cs="Calibri" w:eastAsia="Calibri" w:hAnsi="Calibri"/>
          <w:sz w:val="22"/>
          <w:szCs w:val="22"/>
        </w:rPr>
        <w:t xml:space="preserve">The civil-registry record is held by City Civil Registry Office of Manila and is identified as follows: Certificate of Live Birth, Registry No. 1990-12345, complete-name entry. The civil-registry entry is correct and is relied on as the primary record; no civil-registry correction is sought.</w:t>
      </w:r>
    </w:p>
    <w:p>
      <w:pPr>
        <w:keepNext/>
        <w:spacing w:after="260" w:before="360"/>
      </w:pPr>
      <w:r>
        <w:rPr>
          <w:rFonts w:ascii="Calibri" w:cs="Calibri" w:eastAsia="Calibri" w:hAnsi="Calibri"/>
          <w:b/>
          <w:bCs/>
          <w:sz w:val="22"/>
          <w:szCs w:val="22"/>
        </w:rPr>
        <w:t xml:space="preserve">IN WITNESS WHEREOF, I have signed this Affidavit this ____ day of __________ 20____ at __________________, Philippines.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Maria Luz Santos</w:t>
            </w:r>
          </w:p>
          <w:p>
            <w:pPr>
              <w:spacing w:after="120"/>
            </w:pPr>
            <w:r>
              <w:rPr>
                <w:rFonts w:ascii="Calibri" w:cs="Calibri" w:eastAsia="Calibri" w:hAnsi="Calibri"/>
                <w:sz w:val="22"/>
                <w:szCs w:val="22"/>
              </w:rPr>
              <w:t xml:space="preserve">Signature over printed name: ______________________________</w:t>
            </w:r>
          </w:p>
          <w:p>
            <w:pPr>
              <w:spacing w:after="120"/>
            </w:pPr>
            <w:r>
              <w:rPr>
                <w:rFonts w:ascii="Calibri" w:cs="Calibri" w:eastAsia="Calibri" w:hAnsi="Calibri"/>
                <w:sz w:val="22"/>
                <w:szCs w:val="22"/>
              </w:rPr>
              <w:t xml:space="preserve">Affiant</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JURAT — FOR THE NOTARIAL OFFICER TO COMPLETE</w:t>
      </w:r>
    </w:p>
    <w:p>
      <w:pPr>
        <w:keepLines/>
        <w:spacing w:after="120" w:line="264"/>
        <w:jc w:val="both"/>
      </w:pPr>
      <w:r>
        <w:rPr>
          <w:rFonts w:ascii="Calibri" w:cs="Calibri" w:eastAsia="Calibri" w:hAnsi="Calibri"/>
          <w:sz w:val="22"/>
          <w:szCs w:val="22"/>
        </w:rPr>
        <w:t xml:space="preserve">SUBSCRIBED AND SWORN to before me on __________________ at Makati City, Philippines. The Affiant personally appeared, signed this complete Affidavit in my presence, took an oath or affirmation as to its contents, and was identified through competent evidence of identity, the particulars of which I record as follows: Current government-issued photo ID / ID No. __________________ / issued at __________________ / issued on __________________ / valid until __________________.</w:t>
      </w:r>
    </w:p>
    <w:p>
      <w:pPr>
        <w:keepLines/>
        <w:spacing w:after="120" w:line="264"/>
        <w:jc w:val="both"/>
      </w:pPr>
      <w:r>
        <w:rPr>
          <w:rFonts w:ascii="Calibri" w:cs="Calibri" w:eastAsia="Calibri" w:hAnsi="Calibri"/>
          <w:sz w:val="22"/>
          <w:szCs w:val="22"/>
        </w:rPr>
        <w:t xml:space="preserve">NOTARY PUBLIC
Notary Public for __________________ until December 31, 20____
Commission No.: __________________
Roll of Attorneys No.: __________________
PTR No.: __________ / date: __________ / place: __________
IBP No.: __________ / date: __________
MCLE Compliance No.: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Compare every quoted entry, title, issuer, reference, date, asserted correct fact, and explanation against certified copies or genuine source records. If the cause of the discrepancy is unknown, state that it is unknown instead of guessing.</w:t>
      </w:r>
    </w:p>
    <w:p>
      <w:pPr>
        <w:pStyle w:val="ListParagraph"/>
        <w:keepNext/>
        <w:numPr>
          <w:ilvl w:val="0"/>
          <w:numId w:val="1"/>
        </w:numPr>
        <w:spacing w:after="120" w:line="264"/>
      </w:pPr>
      <w:r>
        <w:rPr>
          <w:rFonts w:ascii="Calibri" w:cs="Calibri" w:eastAsia="Calibri" w:hAnsi="Calibri"/>
          <w:sz w:val="22"/>
          <w:szCs w:val="22"/>
        </w:rPr>
        <w:t xml:space="preserve">Attach the recipient's required certified or authenticated records. Label attachments consistently, redact unnecessary sensitive data from working or public copies, and never alter the source records themselves.</w:t>
      </w:r>
    </w:p>
    <w:p>
      <w:pPr>
        <w:pStyle w:val="ListParagraph"/>
        <w:keepNext/>
        <w:numPr>
          <w:ilvl w:val="0"/>
          <w:numId w:val="1"/>
        </w:numPr>
        <w:spacing w:after="120" w:line="264"/>
      </w:pPr>
      <w:r>
        <w:rPr>
          <w:rFonts w:ascii="Calibri" w:cs="Calibri" w:eastAsia="Calibri" w:hAnsi="Calibri"/>
          <w:sz w:val="22"/>
          <w:szCs w:val="22"/>
        </w:rPr>
        <w:t xml:space="preserve">Confirm the recipient's current official form, filing office, personal-appearance rule, copy count, certified-copy requirements, fees, publication, clearances, and processing times before signing.</w:t>
      </w:r>
    </w:p>
    <w:p>
      <w:pPr>
        <w:pStyle w:val="ListParagraph"/>
        <w:keepNext/>
        <w:numPr>
          <w:ilvl w:val="0"/>
          <w:numId w:val="1"/>
        </w:numPr>
        <w:spacing w:after="120" w:line="264"/>
      </w:pPr>
      <w:r>
        <w:rPr>
          <w:rFonts w:ascii="Calibri" w:cs="Calibri" w:eastAsia="Calibri" w:hAnsi="Calibri"/>
          <w:sz w:val="22"/>
          <w:szCs w:val="22"/>
        </w:rPr>
        <w:t xml:space="preserve">Do not pre-sign. Bring the complete affidavit and acceptable current photo identification, appear before a duly commissioned traditional notary within the notary's territorial authority, sign in the notary's presence, and take the oath or affirmation.</w:t>
      </w:r>
    </w:p>
    <w:p>
      <w:pPr>
        <w:pStyle w:val="ListParagraph"/>
        <w:keepNext/>
        <w:numPr>
          <w:ilvl w:val="0"/>
          <w:numId w:val="1"/>
        </w:numPr>
        <w:spacing w:after="120" w:line="264"/>
      </w:pPr>
      <w:r>
        <w:rPr>
          <w:rFonts w:ascii="Calibri" w:cs="Calibri" w:eastAsia="Calibri" w:hAnsi="Calibri"/>
          <w:sz w:val="22"/>
          <w:szCs w:val="22"/>
        </w:rPr>
        <w:t xml:space="preserve">Do not complete, edit, backdate, or imitate the notarial certificate, seal, commission, document/page/book/series numbers, electronic certificate, or identity finding. Those belong to the authorized notarial officer.</w:t>
      </w:r>
    </w:p>
    <w:p>
      <w:pPr>
        <w:pStyle w:val="ListParagraph"/>
        <w:keepNext/>
        <w:numPr>
          <w:ilvl w:val="0"/>
          <w:numId w:val="1"/>
        </w:numPr>
        <w:spacing w:after="120" w:line="264"/>
      </w:pPr>
      <w:r>
        <w:rPr>
          <w:rFonts w:ascii="Calibri" w:cs="Calibri" w:eastAsia="Calibri" w:hAnsi="Calibri"/>
          <w:sz w:val="22"/>
          <w:szCs w:val="22"/>
        </w:rPr>
        <w:t xml:space="preserve">Notarization records the notarial act; it does not make a false assertion true, prove identity conclusively, correct an official record, or guarantee recipient acceptance.</w:t>
      </w:r>
    </w:p>
    <w:p>
      <w:pPr>
        <w:pStyle w:val="ListParagraph"/>
        <w:keepNext/>
        <w:numPr>
          <w:ilvl w:val="0"/>
          <w:numId w:val="1"/>
        </w:numPr>
        <w:spacing w:after="120" w:line="264"/>
      </w:pPr>
      <w:r>
        <w:rPr>
          <w:rFonts w:ascii="Calibri" w:cs="Calibri" w:eastAsia="Calibri" w:hAnsi="Calibri"/>
          <w:sz w:val="22"/>
          <w:szCs w:val="22"/>
        </w:rPr>
        <w:t xml:space="preserve">You have said the civil-registry entry is correct. Do not file an R.A. 9048 or R.A. 10172 petition or a Rule 108 case for this; ask the office that issued the differing record to correct its own record, using a PSA-certified copy of the civil-registry record and this affidavit.</w:t>
      </w:r>
    </w:p>
    <w:p>
      <w:pPr>
        <w:pStyle w:val="ListParagraph"/>
        <w:keepNext w:val="false"/>
        <w:numPr>
          <w:ilvl w:val="0"/>
          <w:numId w:val="1"/>
        </w:numPr>
        <w:spacing w:after="120" w:line="264"/>
      </w:pPr>
      <w:r>
        <w:rPr>
          <w:rFonts w:ascii="Calibri" w:cs="Calibri" w:eastAsia="Calibri" w:hAnsi="Calibri"/>
          <w:sz w:val="22"/>
          <w:szCs w:val="22"/>
        </w:rPr>
        <w:t xml:space="preserve">Use the issuing organization's correction procedure for its own database or document. Ask whether it requires a specific affidavit, certified PSA record, marriage certificate, court order, personal appearance, biometrics, or cross-agency update before submitting this draft.</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onward, subject to the recorded review cycle | Independent Philippine lawyer review pending | Last legal check 2026-10-01 | Next review due 2027-01-01</w:t>
      </w:r>
    </w:p>
    <w:p>
      <w:pPr>
        <w:keepNext/>
        <w:spacing w:after="60" w:before="100"/>
      </w:pPr>
      <w:r>
        <w:rPr>
          <w:rFonts w:ascii="Calibri" w:cs="Calibri" w:eastAsia="Calibri" w:hAnsi="Calibri"/>
          <w:b/>
          <w:bCs/>
          <w:sz w:val="18"/>
          <w:szCs w:val="18"/>
        </w:rPr>
        <w:t xml:space="preserve">Republic Act No. 9048 - Administrative correction of clerical or typographical errors in an entry in the civil register, and change of first name or nickname (checked 2026-10-01)</w:t>
      </w:r>
    </w:p>
    <w:p>
      <w:pPr>
        <w:spacing w:after="120"/>
      </w:pPr>
      <w:hyperlink w:history="1" r:id="rIdmh60dgg-z6k590jdxbz7h">
        <w:r>
          <w:rPr>
            <w:rFonts w:ascii="Calibri" w:cs="Calibri" w:eastAsia="Calibri" w:hAnsi="Calibri"/>
            <w:color w:val="315B75"/>
            <w:sz w:val="17"/>
            <w:szCs w:val="17"/>
            <w:u w:val="single"/>
          </w:rPr>
          <w:t xml:space="preserve">https://lawphil.net/statutes/repacts/ra2001/ra_9048_2001.html</w:t>
        </w:r>
      </w:hyperlink>
    </w:p>
    <w:p>
      <w:pPr>
        <w:keepNext/>
        <w:spacing w:after="60" w:before="100"/>
      </w:pPr>
      <w:r>
        <w:rPr>
          <w:rFonts w:ascii="Calibri" w:cs="Calibri" w:eastAsia="Calibri" w:hAnsi="Calibri"/>
          <w:b/>
          <w:bCs/>
          <w:sz w:val="18"/>
          <w:szCs w:val="18"/>
        </w:rPr>
        <w:t xml:space="preserve">Republic Act No. 10172 - Sec. 1 (amending RA 9048 Sec. 1): administrative correction only of an erroneous civil-register entry; Sec. 3 (amending RA 9048 Sec. 5): petition in the form of an affidavit, at least two public or private documents showing the correct entry, publication once a week for two consecutive weeks for a first-name change or day/month/sex correction, and a law-enforcement no-pending-case certification (checked 2026-10-01)</w:t>
      </w:r>
    </w:p>
    <w:p>
      <w:pPr>
        <w:spacing w:after="120"/>
      </w:pPr>
      <w:hyperlink w:history="1" r:id="rIdzni65apm2xzsqqex69e1r">
        <w:r>
          <w:rPr>
            <w:rFonts w:ascii="Calibri" w:cs="Calibri" w:eastAsia="Calibri" w:hAnsi="Calibri"/>
            <w:color w:val="315B75"/>
            <w:sz w:val="17"/>
            <w:szCs w:val="17"/>
            <w:u w:val="single"/>
          </w:rPr>
          <w:t xml:space="preserve">https://lawphil.net/statutes/repacts/ra2012/ra_10172_2012.html</w:t>
        </w:r>
      </w:hyperlink>
    </w:p>
    <w:p>
      <w:pPr>
        <w:keepNext/>
        <w:spacing w:after="60" w:before="100"/>
      </w:pPr>
      <w:r>
        <w:rPr>
          <w:rFonts w:ascii="Calibri" w:cs="Calibri" w:eastAsia="Calibri" w:hAnsi="Calibri"/>
          <w:b/>
          <w:bCs/>
          <w:sz w:val="18"/>
          <w:szCs w:val="18"/>
        </w:rPr>
        <w:t xml:space="preserve">Rule 108, Rules of Court - Judicial cancellation or correction of civil-registry entries not within the limited administrative route (checked 2026-08-30)</w:t>
      </w:r>
    </w:p>
    <w:p>
      <w:pPr>
        <w:spacing w:after="120"/>
      </w:pPr>
      <w:hyperlink w:history="1" r:id="rIdt8h6fgru5cyjykg-vsyz-">
        <w:r>
          <w:rPr>
            <w:rFonts w:ascii="Calibri" w:cs="Calibri" w:eastAsia="Calibri" w:hAnsi="Calibri"/>
            <w:color w:val="315B75"/>
            <w:sz w:val="17"/>
            <w:szCs w:val="17"/>
            <w:u w:val="single"/>
          </w:rPr>
          <w:t xml:space="preserve">https://lawphil.net/courts/rules/rc_72-109_proceedings.html</w:t>
        </w:r>
      </w:hyperlink>
    </w:p>
    <w:p>
      <w:pPr>
        <w:keepNext/>
        <w:spacing w:after="60" w:before="100"/>
      </w:pPr>
      <w:r>
        <w:rPr>
          <w:rFonts w:ascii="Calibri" w:cs="Calibri" w:eastAsia="Calibri" w:hAnsi="Calibri"/>
          <w:b/>
          <w:bCs/>
          <w:sz w:val="18"/>
          <w:szCs w:val="18"/>
        </w:rPr>
        <w:t xml:space="preserve">2004 Rules on Notarial Practice, A.M. No. 02-8-13-SC - Jurat, oath, personal appearance, complete document, signature, and competent evidence of identity; Rule VIII, Sec. 2 on the contents of the notarial certificate (checked 2026-10-01)</w:t>
      </w:r>
    </w:p>
    <w:p>
      <w:pPr>
        <w:spacing w:after="120"/>
      </w:pPr>
      <w:hyperlink w:history="1" r:id="rIdwnqcmizh_gxi7gzk1-li6">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2025 Amendments to the 2004 Rules on Notarial Practice - Digital reporting and duplicate-original safeguards effective June 21, 2025 (checked 2026-08-30)</w:t>
      </w:r>
    </w:p>
    <w:p>
      <w:pPr>
        <w:spacing w:after="120"/>
      </w:pPr>
      <w:hyperlink w:history="1" r:id="rIdfjdtpo0dw_bswz3zyi21s">
        <w:r>
          <w:rPr>
            <w:rFonts w:ascii="Calibri" w:cs="Calibri" w:eastAsia="Calibri" w:hAnsi="Calibri"/>
            <w:color w:val="315B75"/>
            <w:sz w:val="17"/>
            <w:szCs w:val="17"/>
            <w:u w:val="single"/>
          </w:rPr>
          <w:t xml:space="preserve">https://sc.judiciary.gov.ph/sc-amends-notarial-rules-to-strengthen-digital-reporting-and-safeguards/</w:t>
        </w:r>
      </w:hyperlink>
    </w:p>
    <w:p>
      <w:pPr>
        <w:keepNext/>
        <w:spacing w:after="60" w:before="100"/>
      </w:pPr>
      <w:r>
        <w:rPr>
          <w:rFonts w:ascii="Calibri" w:cs="Calibri" w:eastAsia="Calibri" w:hAnsi="Calibri"/>
          <w:b/>
          <w:bCs/>
          <w:sz w:val="18"/>
          <w:szCs w:val="18"/>
        </w:rPr>
        <w:t xml:space="preserve">Rules on Electronic Notarization, A.M. No. 24-10-14-SC - Electronic oath and jurat for PDF/PDF-A through SC-commissioned ENPs and accredited facilities; the SC announced on 25 September 2026 that electronic notarization officially launches on 19 October 2026 (checked 2026-10-01)</w:t>
      </w:r>
    </w:p>
    <w:p>
      <w:pPr>
        <w:spacing w:after="120"/>
      </w:pPr>
      <w:hyperlink w:history="1" r:id="rIdu9ogxz7xgq8kbjlb-fhk4">
        <w:r>
          <w:rPr>
            <w:rFonts w:ascii="Calibri" w:cs="Calibri" w:eastAsia="Calibri" w:hAnsi="Calibri"/>
            <w:color w:val="315B75"/>
            <w:sz w:val="17"/>
            <w:szCs w:val="17"/>
            <w:u w:val="single"/>
          </w:rPr>
          <w:t xml:space="preserve">https://sc.judiciary.gov.ph/24-10-14-sc-rules-on-electronic-notarization/</w:t>
        </w:r>
      </w:hyperlink>
    </w:p>
    <w:p>
      <w:pPr>
        <w:keepNext/>
        <w:spacing w:after="60" w:before="100"/>
      </w:pPr>
      <w:r>
        <w:rPr>
          <w:rFonts w:ascii="Calibri" w:cs="Calibri" w:eastAsia="Calibri" w:hAnsi="Calibri"/>
          <w:b/>
          <w:bCs/>
          <w:sz w:val="18"/>
          <w:szCs w:val="18"/>
        </w:rPr>
        <w:t xml:space="preserve">Republic Act No. 11594 - Article 183 penalties for knowingly untruthful material statements in required affidavits (checked 2026-08-30)</w:t>
      </w:r>
    </w:p>
    <w:p>
      <w:pPr>
        <w:spacing w:after="120"/>
      </w:pPr>
      <w:hyperlink w:history="1" r:id="rIdzoccymewyo0wfnizaz40h">
        <w:r>
          <w:rPr>
            <w:rFonts w:ascii="Calibri" w:cs="Calibri" w:eastAsia="Calibri" w:hAnsi="Calibri"/>
            <w:color w:val="315B75"/>
            <w:sz w:val="17"/>
            <w:szCs w:val="17"/>
            <w:u w:val="single"/>
          </w:rPr>
          <w:t xml:space="preserve">https://lawphil.net/statutes/repacts/ra2021/ra_11594_2021.html</w:t>
        </w:r>
      </w:hyperlink>
    </w:p>
    <w:p>
      <w:pPr>
        <w:keepNext/>
        <w:spacing w:after="60" w:before="100"/>
      </w:pPr>
      <w:r>
        <w:rPr>
          <w:rFonts w:ascii="Calibri" w:cs="Calibri" w:eastAsia="Calibri" w:hAnsi="Calibri"/>
          <w:b/>
          <w:bCs/>
          <w:sz w:val="18"/>
          <w:szCs w:val="18"/>
        </w:rPr>
        <w:t xml:space="preserve">Republic Act No. 10173, Data Privacy Act of 2012 - Transparency, legitimate purpose, proportionality, accuracy, retention, security, and sensitive-personal-information controls (checked 2026-08-30)</w:t>
      </w:r>
    </w:p>
    <w:p>
      <w:pPr>
        <w:spacing w:after="120"/>
      </w:pPr>
      <w:hyperlink w:history="1" r:id="rIdm3bncz20bo9mbhozqi96j">
        <w:r>
          <w:rPr>
            <w:rFonts w:ascii="Calibri" w:cs="Calibri" w:eastAsia="Calibri" w:hAnsi="Calibri"/>
            <w:color w:val="315B75"/>
            <w:sz w:val="17"/>
            <w:szCs w:val="17"/>
            <w:u w:val="single"/>
          </w:rPr>
          <w:t xml:space="preserve">https://privacy.gov.ph/data-privacy-act/</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h60dgg-z6k590jdxbz7h" Type="http://schemas.openxmlformats.org/officeDocument/2006/relationships/hyperlink" Target="https://lawphil.net/statutes/repacts/ra2001/ra_9048_2001.html" TargetMode="External"/><Relationship Id="rIdzni65apm2xzsqqex69e1r" Type="http://schemas.openxmlformats.org/officeDocument/2006/relationships/hyperlink" Target="https://lawphil.net/statutes/repacts/ra2012/ra_10172_2012.html" TargetMode="External"/><Relationship Id="rIdt8h6fgru5cyjykg-vsyz-" Type="http://schemas.openxmlformats.org/officeDocument/2006/relationships/hyperlink" Target="https://lawphil.net/courts/rules/rc_72-109_proceedings.html" TargetMode="External"/><Relationship Id="rIdwnqcmizh_gxi7gzk1-li6" Type="http://schemas.openxmlformats.org/officeDocument/2006/relationships/hyperlink" Target="https://sc.judiciary.gov.ph/wp-content/uploads/2022/08/02-08-13-SC-1.pdf" TargetMode="External"/><Relationship Id="rIdfjdtpo0dw_bswz3zyi21s" Type="http://schemas.openxmlformats.org/officeDocument/2006/relationships/hyperlink" Target="https://sc.judiciary.gov.ph/sc-amends-notarial-rules-to-strengthen-digital-reporting-and-safeguards/" TargetMode="External"/><Relationship Id="rIdu9ogxz7xgq8kbjlb-fhk4" Type="http://schemas.openxmlformats.org/officeDocument/2006/relationships/hyperlink" Target="https://sc.judiciary.gov.ph/24-10-14-sc-rules-on-electronic-notarization/" TargetMode="External"/><Relationship Id="rIdzoccymewyo0wfnizaz40h" Type="http://schemas.openxmlformats.org/officeDocument/2006/relationships/hyperlink" Target="https://lawphil.net/statutes/repacts/ra2021/ra_11594_2021.html" TargetMode="External"/><Relationship Id="rIdm3bncz20bo9mbhozqi96j" Type="http://schemas.openxmlformats.org/officeDocument/2006/relationships/hyperlink" Target="https://privacy.gov.ph/data-privacy-act/"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Discrepancy and One and the Same Person</dc:title>
  <dc:creator>LAW.PH</dc:creator>
  <dc:description>Free sample of the Affidavit of Discrepancy from LAW.PH, with fictional details</dc:description>
  <cp:lastModifiedBy>Un-named</cp:lastModifiedBy>
  <cp:revision>1</cp:revision>
  <dcterms:created xsi:type="dcterms:W3CDTF">2026-10-02T05:29:57.893Z</dcterms:created>
  <dcterms:modified xsi:type="dcterms:W3CDTF">2026-10-02T05:29:57.893Z</dcterms:modified>
</cp:coreProperties>
</file>

<file path=docProps/custom.xml><?xml version="1.0" encoding="utf-8"?>
<Properties xmlns="http://schemas.openxmlformats.org/officeDocument/2006/custom-properties" xmlns:vt="http://schemas.openxmlformats.org/officeDocument/2006/docPropsVTypes"/>
</file>