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80"/>
        <w:jc w:val="center"/>
      </w:pPr>
      <w:r>
        <w:rPr>
          <w:rFonts w:ascii="Calibri" w:cs="Calibri" w:eastAsia="Calibri" w:hAnsi="Calibri"/>
          <w:b/>
          <w:bCs/>
          <w:color w:val="B48735"/>
          <w:spacing w:val="100"/>
          <w:sz w:val="18"/>
          <w:szCs w:val="18"/>
        </w:rPr>
        <w:t xml:space="preserve">LAW.PH</w:t>
      </w:r>
    </w:p>
    <w:p>
      <w:pPr>
        <w:pStyle w:val="Title"/>
        <w:spacing w:after="100"/>
        <w:jc w:val="center"/>
      </w:pPr>
      <w:r>
        <w:rPr>
          <w:rFonts w:ascii="Calibri" w:cs="Calibri" w:eastAsia="Calibri" w:hAnsi="Calibri"/>
          <w:b/>
          <w:bCs/>
          <w:color w:val="102B3F"/>
          <w:sz w:val="30"/>
          <w:szCs w:val="30"/>
        </w:rPr>
        <w:t xml:space="preserve">AFFIDAVIT OF LOSS</w:t>
      </w:r>
    </w:p>
    <w:p>
      <w:pPr>
        <w:spacing w:after="160"/>
        <w:jc w:val="center"/>
      </w:pPr>
      <w:r>
        <w:rPr>
          <w:rFonts w:ascii="Calibri" w:cs="Calibri" w:eastAsia="Calibri" w:hAnsi="Calibri"/>
          <w:color w:val="566674"/>
          <w:sz w:val="18"/>
          <w:szCs w:val="18"/>
        </w:rPr>
        <w:t xml:space="preserve">Republic of the Philippines · Template v0.2.0</w:t>
      </w:r>
    </w:p>
    <w:p>
      <w:pPr>
        <w:shd w:fill="FFF8E8" w:val="clear"/>
        <w:spacing w:after="260" w:before="80"/>
        <w:jc w:val="center"/>
      </w:pPr>
      <w:r>
        <w:rPr>
          <w:rFonts w:ascii="Calibri" w:cs="Calibri" w:eastAsia="Calibri" w:hAnsi="Calibri"/>
          <w:b/>
          <w:bCs/>
          <w:color w:val="8A5A12"/>
          <w:sz w:val="16"/>
          <w:szCs w:val="16"/>
        </w:rPr>
        <w:t xml:space="preserve">FREE SAMPLE · Fictional names, dates, and amounts: replace every one before use · Independent Philippine lawyer review pending</w:t>
      </w:r>
    </w:p>
    <w:p>
      <w:pPr>
        <w:keepLines/>
        <w:spacing w:after="120" w:line="264"/>
        <w:jc w:val="both"/>
      </w:pPr>
      <w:r>
        <w:rPr>
          <w:rFonts w:ascii="Calibri" w:cs="Calibri" w:eastAsia="Calibri" w:hAnsi="Calibri"/>
          <w:sz w:val="22"/>
          <w:szCs w:val="22"/>
        </w:rPr>
        <w:t xml:space="preserve">REPUBLIC OF THE PHILIPPINES )</w:t>
      </w:r>
    </w:p>
    <w:p>
      <w:pPr>
        <w:keepLines/>
        <w:spacing w:after="120" w:line="264"/>
        <w:jc w:val="both"/>
      </w:pPr>
      <w:r>
        <w:rPr>
          <w:rFonts w:ascii="Calibri" w:cs="Calibri" w:eastAsia="Calibri" w:hAnsi="Calibri"/>
          <w:sz w:val="22"/>
          <w:szCs w:val="22"/>
        </w:rPr>
        <w:t xml:space="preserve">MAKATI CITY ) S.S.</w:t>
      </w:r>
    </w:p>
    <w:p>
      <w:pPr>
        <w:pStyle w:val="Heading2"/>
        <w:keepNext/>
        <w:spacing w:after="120" w:before="240"/>
      </w:pPr>
      <w:r>
        <w:rPr>
          <w:rFonts w:ascii="Calibri" w:cs="Calibri" w:eastAsia="Calibri" w:hAnsi="Calibri"/>
          <w:b/>
          <w:bCs/>
          <w:color w:val="102B3F"/>
          <w:sz w:val="26"/>
          <w:szCs w:val="26"/>
        </w:rPr>
        <w:t xml:space="preserve">SWORN STATEMENT</w:t>
      </w:r>
    </w:p>
    <w:p>
      <w:pPr>
        <w:keepLines/>
        <w:spacing w:after="120" w:line="264"/>
        <w:jc w:val="both"/>
      </w:pPr>
      <w:r>
        <w:rPr>
          <w:rFonts w:ascii="Calibri" w:cs="Calibri" w:eastAsia="Calibri" w:hAnsi="Calibri"/>
          <w:sz w:val="22"/>
          <w:szCs w:val="22"/>
        </w:rPr>
        <w:t xml:space="preserve">I, Maria L. Santos, Filipino, of legal age, single, and residing at 100 Ayala Avenue, Makati City 1226, after having been duly sworn in accordance with law, depose and state:</w:t>
      </w:r>
    </w:p>
    <w:p>
      <w:pPr>
        <w:keepLines/>
        <w:spacing w:after="120" w:line="264"/>
        <w:jc w:val="both"/>
      </w:pPr>
      <w:r>
        <w:rPr>
          <w:rFonts w:ascii="Calibri" w:cs="Calibri" w:eastAsia="Calibri" w:hAnsi="Calibri"/>
          <w:sz w:val="22"/>
          <w:szCs w:val="22"/>
        </w:rPr>
        <w:t xml:space="preserve">1. I am the registered owner or lawful holder of the item described below.</w:t>
      </w:r>
    </w:p>
    <w:p>
      <w:pPr>
        <w:keepLines/>
        <w:spacing w:after="120" w:line="264"/>
        <w:jc w:val="both"/>
      </w:pPr>
      <w:r>
        <w:rPr>
          <w:rFonts w:ascii="Calibri" w:cs="Calibri" w:eastAsia="Calibri" w:hAnsi="Calibri"/>
          <w:sz w:val="22"/>
          <w:szCs w:val="22"/>
        </w:rPr>
        <w:t xml:space="preserve">2. The subject item is Professional Identification Card bearing identifier PIC-1234567, issued by Professional Regulation Commission. The registered owner or holder is Maria L. Santos.</w:t>
      </w:r>
    </w:p>
    <w:p>
      <w:pPr>
        <w:keepLines/>
        <w:spacing w:after="120" w:line="264"/>
        <w:jc w:val="both"/>
      </w:pPr>
      <w:r>
        <w:rPr>
          <w:rFonts w:ascii="Calibri" w:cs="Calibri" w:eastAsia="Calibri" w:hAnsi="Calibri"/>
          <w:sz w:val="22"/>
          <w:szCs w:val="22"/>
        </w:rPr>
        <w:t xml:space="preserve">3. The item was lost on August 15, 2026. The place where I last possessed, used, or kept it: inside my wallet while traveling from my office in Makati City to my residence. The first-hand circumstances are: I used the card at my office in the morning, placed it back inside my wallet, and discovered after arriving home that the card was no longer in the wallet.</w:t>
      </w:r>
    </w:p>
    <w:p>
      <w:pPr>
        <w:keepLines/>
        <w:spacing w:after="120" w:line="264"/>
        <w:jc w:val="both"/>
      </w:pPr>
      <w:r>
        <w:rPr>
          <w:rFonts w:ascii="Calibri" w:cs="Calibri" w:eastAsia="Calibri" w:hAnsi="Calibri"/>
          <w:sz w:val="22"/>
          <w:szCs w:val="22"/>
        </w:rPr>
        <w:t xml:space="preserve">4. I discovered the loss or destruction on August 15, 2026 in the following manner: I checked my wallet at home that evening and found that the card was missing while the other contents remained.</w:t>
      </w:r>
    </w:p>
    <w:p>
      <w:pPr>
        <w:keepLines/>
        <w:spacing w:after="120" w:line="264"/>
        <w:jc w:val="both"/>
      </w:pPr>
      <w:r>
        <w:rPr>
          <w:rFonts w:ascii="Calibri" w:cs="Calibri" w:eastAsia="Calibri" w:hAnsi="Calibri"/>
          <w:sz w:val="22"/>
          <w:szCs w:val="22"/>
        </w:rPr>
        <w:t xml:space="preserve">5. I made a diligent search, including the following reasonable steps: I searched the wallet, bag, office desk, vehicle, and residence and contacted the building reception and transport provider. Despite that search, the item remains missing or has been confirmed destroyed.</w:t>
      </w:r>
    </w:p>
    <w:p>
      <w:pPr>
        <w:keepLines/>
        <w:spacing w:after="120" w:line="264"/>
        <w:jc w:val="both"/>
      </w:pPr>
      <w:r>
        <w:rPr>
          <w:rFonts w:ascii="Calibri" w:cs="Calibri" w:eastAsia="Calibri" w:hAnsi="Calibri"/>
          <w:sz w:val="22"/>
          <w:szCs w:val="22"/>
        </w:rPr>
        <w:t xml:space="preserve">6. I did not knowingly sell, assign, pledge, lend, or voluntarily deliver the item to another person. I am not using this affidavit to conceal a transfer, ownership dispute, or unauthorized possession.</w:t>
      </w:r>
    </w:p>
    <w:p>
      <w:pPr>
        <w:keepLines/>
        <w:spacing w:after="120" w:line="264"/>
        <w:jc w:val="both"/>
      </w:pPr>
      <w:r>
        <w:rPr>
          <w:rFonts w:ascii="Calibri" w:cs="Calibri" w:eastAsia="Calibri" w:hAnsi="Calibri"/>
          <w:sz w:val="22"/>
          <w:szCs w:val="22"/>
        </w:rPr>
        <w:t xml:space="preserve">7. I am not presently aware of specific facts establishing unauthorized use after the loss. I will report any verified misuse promptly.</w:t>
      </w:r>
    </w:p>
    <w:p>
      <w:pPr>
        <w:keepLines/>
        <w:spacing w:after="120" w:line="264"/>
        <w:jc w:val="both"/>
      </w:pPr>
      <w:r>
        <w:rPr>
          <w:rFonts w:ascii="Calibri" w:cs="Calibri" w:eastAsia="Calibri" w:hAnsi="Calibri"/>
          <w:sz w:val="22"/>
          <w:szCs w:val="22"/>
        </w:rPr>
        <w:t xml:space="preserve">8. I notified Professional Regulation Commission: Reported through the PRC help channel on August 16, 2026 under reference PRC-AL-221. I confirmed that a police report is not required for the presently identified submission.</w:t>
      </w:r>
    </w:p>
    <w:p>
      <w:pPr>
        <w:keepLines/>
        <w:spacing w:after="120" w:line="264"/>
        <w:jc w:val="both"/>
      </w:pPr>
      <w:r>
        <w:rPr>
          <w:rFonts w:ascii="Calibri" w:cs="Calibri" w:eastAsia="Calibri" w:hAnsi="Calibri"/>
          <w:sz w:val="22"/>
          <w:szCs w:val="22"/>
        </w:rPr>
        <w:t xml:space="preserve">9. I am executing this affidavit for submission to Professional Regulation Commission to request the issuance of a replacement. This affidavit does not itself cancel the item, determine ownership, or compel replacement.</w:t>
      </w:r>
    </w:p>
    <w:p>
      <w:pPr>
        <w:keepLines/>
        <w:spacing w:after="120" w:line="264"/>
        <w:jc w:val="both"/>
      </w:pPr>
      <w:r>
        <w:rPr>
          <w:rFonts w:ascii="Calibri" w:cs="Calibri" w:eastAsia="Calibri" w:hAnsi="Calibri"/>
          <w:sz w:val="22"/>
          <w:szCs w:val="22"/>
        </w:rPr>
        <w:t xml:space="preserve">10. I will provide only genuine supporting records and comply with the recipient's current official requirements.</w:t>
      </w:r>
    </w:p>
    <w:p>
      <w:pPr>
        <w:keepLines/>
        <w:spacing w:after="120" w:line="264"/>
        <w:jc w:val="both"/>
      </w:pPr>
      <w:r>
        <w:rPr>
          <w:rFonts w:ascii="Calibri" w:cs="Calibri" w:eastAsia="Calibri" w:hAnsi="Calibri"/>
          <w:sz w:val="22"/>
          <w:szCs w:val="22"/>
        </w:rPr>
        <w:t xml:space="preserve">11. This is loss number 1 for this same kind of item based on my records and recollection. If the item is recovered, I will promptly notify Professional Regulation Commission, stop using any canceled or replaced version, and surrender or handle it as lawfully directed.</w:t>
      </w:r>
    </w:p>
    <w:p>
      <w:pPr>
        <w:keepLines/>
        <w:spacing w:after="120" w:line="264"/>
        <w:jc w:val="both"/>
      </w:pPr>
      <w:r>
        <w:rPr>
          <w:rFonts w:ascii="Calibri" w:cs="Calibri" w:eastAsia="Calibri" w:hAnsi="Calibri"/>
          <w:sz w:val="22"/>
          <w:szCs w:val="22"/>
        </w:rPr>
        <w:t xml:space="preserve">12. I have read and understood this Affidavit. Its material statements are true and complete based on my personal knowledge and the records expressly identified above. I understand that knowingly making a material false statement under oath for a legal purpose may result in criminal and other liability.</w:t>
      </w:r>
    </w:p>
    <w:p>
      <w:pPr>
        <w:keepNext/>
        <w:spacing w:after="260" w:before="360"/>
      </w:pPr>
      <w:r>
        <w:rPr>
          <w:rFonts w:ascii="Calibri" w:cs="Calibri" w:eastAsia="Calibri" w:hAnsi="Calibri"/>
          <w:b/>
          <w:bCs/>
          <w:sz w:val="22"/>
          <w:szCs w:val="22"/>
        </w:rPr>
        <w:t xml:space="preserve">IN WITNESS WHEREOF, I have signed this Affidavit this ____ day of __________ 20____ at __________________, Philippines.</w:t>
      </w:r>
    </w:p>
    <w:tbl>
      <w:tblPr>
        <w:tblW w:type="dxa" w:w="93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80"/>
        <w:gridCol w:w="4680"/>
      </w:tblGrid>
      <w:tr>
        <w:trPr>
          <w:cantSplit/>
        </w:trPr>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Maria L. Santos</w:t>
            </w:r>
          </w:p>
          <w:p>
            <w:pPr>
              <w:spacing w:after="120"/>
            </w:pPr>
            <w:r>
              <w:rPr>
                <w:rFonts w:ascii="Calibri" w:cs="Calibri" w:eastAsia="Calibri" w:hAnsi="Calibri"/>
                <w:sz w:val="22"/>
                <w:szCs w:val="22"/>
              </w:rPr>
              <w:t xml:space="preserve">Signature over printed name: ______________________________</w:t>
            </w:r>
          </w:p>
          <w:p>
            <w:pPr>
              <w:spacing w:after="120"/>
            </w:pPr>
            <w:r>
              <w:rPr>
                <w:rFonts w:ascii="Calibri" w:cs="Calibri" w:eastAsia="Calibri" w:hAnsi="Calibri"/>
                <w:sz w:val="22"/>
                <w:szCs w:val="22"/>
              </w:rPr>
              <w:t xml:space="preserve">Affiant</w:t>
            </w:r>
          </w:p>
          <w:p>
            <w:r>
              <w:rPr>
                <w:rFonts w:ascii="Calibri" w:cs="Calibri" w:eastAsia="Calibri" w:hAnsi="Calibri"/>
                <w:sz w:val="22"/>
                <w:szCs w:val="22"/>
              </w:rPr>
              <w:t xml:space="preserve">Date: ______________________________</w:t>
            </w:r>
          </w:p>
        </w:tc>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
            </w:r>
          </w:p>
          <w:p>
            <w:pPr>
              <w:spacing w:after="120"/>
            </w:pPr>
            <w:r>
              <w:rPr>
                <w:rFonts w:ascii="Calibri" w:cs="Calibri" w:eastAsia="Calibri" w:hAnsi="Calibri"/>
                <w:sz w:val="22"/>
                <w:szCs w:val="22"/>
              </w:rPr>
              <w:t xml:space="preserve"/>
            </w:r>
          </w:p>
          <w:p>
            <w:pPr>
              <w:spacing w:after="120"/>
            </w:pPr>
            <w:r>
              <w:rPr>
                <w:rFonts w:ascii="Calibri" w:cs="Calibri" w:eastAsia="Calibri" w:hAnsi="Calibri"/>
                <w:sz w:val="22"/>
                <w:szCs w:val="22"/>
              </w:rPr>
              <w:t xml:space="preserve"/>
            </w:r>
          </w:p>
          <w:p>
            <w:r>
              <w:rPr>
                <w:rFonts w:ascii="Calibri" w:cs="Calibri" w:eastAsia="Calibri" w:hAnsi="Calibri"/>
                <w:sz w:val="22"/>
                <w:szCs w:val="22"/>
              </w:rPr>
              <w:t xml:space="preserve"/>
            </w:r>
          </w:p>
        </w:tc>
      </w:tr>
    </w:tbl>
    <w:p>
      <w:pPr>
        <w:pStyle w:val="Heading2"/>
        <w:keepNext/>
        <w:spacing w:after="120" w:before="240"/>
      </w:pPr>
      <w:r>
        <w:rPr>
          <w:rFonts w:ascii="Calibri" w:cs="Calibri" w:eastAsia="Calibri" w:hAnsi="Calibri"/>
          <w:b/>
          <w:bCs/>
          <w:color w:val="102B3F"/>
          <w:sz w:val="26"/>
          <w:szCs w:val="26"/>
        </w:rPr>
        <w:t xml:space="preserve">JURAT — FOR THE NOTARIAL OFFICER TO COMPLETE</w:t>
      </w:r>
    </w:p>
    <w:p>
      <w:pPr>
        <w:keepLines/>
        <w:spacing w:after="120" w:line="264"/>
        <w:jc w:val="both"/>
      </w:pPr>
      <w:r>
        <w:rPr>
          <w:rFonts w:ascii="Calibri" w:cs="Calibri" w:eastAsia="Calibri" w:hAnsi="Calibri"/>
          <w:sz w:val="22"/>
          <w:szCs w:val="22"/>
        </w:rPr>
        <w:t xml:space="preserve">SUBSCRIBED AND SWORN to before me on __________________ at Makati City, Philippines. The Affiant personally appeared, signed this complete Affidavit in my presence, took an oath or affirmation as to its contents, and was identified through competent evidence of identity, the particulars of which I record as follows: Current government-issued photo ID / ID No. __________________ / issued at __________________ / issued on __________________ / valid until __________________.</w:t>
      </w:r>
    </w:p>
    <w:p>
      <w:pPr>
        <w:keepLines/>
        <w:spacing w:after="120" w:line="264"/>
        <w:jc w:val="both"/>
      </w:pPr>
      <w:r>
        <w:rPr>
          <w:rFonts w:ascii="Calibri" w:cs="Calibri" w:eastAsia="Calibri" w:hAnsi="Calibri"/>
          <w:sz w:val="22"/>
          <w:szCs w:val="22"/>
        </w:rPr>
        <w:t xml:space="preserve">NOTARY PUBLIC
Notary Public for __________________ until December 31, 20____
Commission No.: __________________
Roll of Attorneys No.: __________________
PTR No.: __________ / date: __________ / place: __________
IBP No.: __________ / date: __________
Office address: __________________
Doc. No.: ______; Page No.: ______; Book No.: ______; Series of ______.</w:t>
      </w:r>
    </w:p>
    <w:p>
      <w:pPr>
        <w:pStyle w:val="Heading2"/>
        <w:keepNext/>
        <w:pageBreakBefore/>
        <w:spacing w:after="140"/>
      </w:pPr>
      <w:r>
        <w:rPr>
          <w:rFonts w:ascii="Calibri" w:cs="Calibri" w:eastAsia="Calibri" w:hAnsi="Calibri"/>
          <w:b/>
          <w:bCs/>
          <w:color w:val="102B3F"/>
          <w:sz w:val="26"/>
          <w:szCs w:val="26"/>
        </w:rPr>
        <w:t xml:space="preserve">LAW.PH PRE-SIGNING GUIDANCE — NOT PART OF THE EXECUTION INSTRUMENT</w:t>
      </w:r>
    </w:p>
    <w:p>
      <w:pPr>
        <w:keepNext/>
        <w:spacing w:after="220" w:line="252"/>
      </w:pPr>
      <w:r>
        <w:rPr>
          <w:rFonts w:ascii="Calibri" w:cs="Calibri" w:eastAsia="Calibri" w:hAnsi="Calibri"/>
          <w:b/>
          <w:bCs/>
          <w:color w:val="8A5A12"/>
          <w:sz w:val="20"/>
          <w:szCs w:val="20"/>
        </w:rPr>
        <w:t xml:space="preserve">The draft instrument ends before this page. The checklist and legal-source record that follow are preparation guidance only: they are not promises, recitals, schedules, annexes, exhibits, attestations, acknowledgments, jurats, or other operative parts of the instrument, and they must not be included in its execution page count.</w:t>
      </w:r>
    </w:p>
    <w:p>
      <w:pPr>
        <w:pStyle w:val="Heading2"/>
        <w:keepNext/>
        <w:spacing w:after="140" w:before="120"/>
      </w:pPr>
      <w:r>
        <w:rPr>
          <w:rFonts w:ascii="Calibri" w:cs="Calibri" w:eastAsia="Calibri" w:hAnsi="Calibri"/>
          <w:b/>
          <w:bCs/>
          <w:color w:val="102B3F"/>
          <w:sz w:val="26"/>
          <w:szCs w:val="26"/>
        </w:rPr>
        <w:t xml:space="preserve">PRE-SIGNING CHECKLIST</w:t>
      </w:r>
    </w:p>
    <w:p>
      <w:pPr>
        <w:pStyle w:val="ListParagraph"/>
        <w:keepNext/>
        <w:numPr>
          <w:ilvl w:val="0"/>
          <w:numId w:val="1"/>
        </w:numPr>
        <w:spacing w:after="120" w:line="264"/>
      </w:pPr>
      <w:r>
        <w:rPr>
          <w:rFonts w:ascii="Calibri" w:cs="Calibri" w:eastAsia="Calibri" w:hAnsi="Calibri"/>
          <w:sz w:val="22"/>
          <w:szCs w:val="22"/>
        </w:rPr>
        <w:t xml:space="preserve">Compare every name, date, identifier, issuer, owner/holder, chronology, search step, notice, and report against copies, official records, messages, receipts, and the affiant's genuine recollection; remove any statement the affiant cannot truthfully swear to.</w:t>
      </w:r>
    </w:p>
    <w:p>
      <w:pPr>
        <w:pStyle w:val="ListParagraph"/>
        <w:keepNext/>
        <w:numPr>
          <w:ilvl w:val="0"/>
          <w:numId w:val="1"/>
        </w:numPr>
        <w:spacing w:after="120" w:line="264"/>
      </w:pPr>
      <w:r>
        <w:rPr>
          <w:rFonts w:ascii="Calibri" w:cs="Calibri" w:eastAsia="Calibri" w:hAnsi="Calibri"/>
          <w:sz w:val="22"/>
          <w:szCs w:val="22"/>
        </w:rPr>
        <w:t xml:space="preserve">Confirm the receiving organization's current official form, number of originals/copies, attachments, fees, appointment, personal-filing, translation, police-report, publication, bond, and processing requirements. This affidavit does not guarantee acceptance or replacement.</w:t>
      </w:r>
    </w:p>
    <w:p>
      <w:pPr>
        <w:pStyle w:val="ListParagraph"/>
        <w:keepNext/>
        <w:numPr>
          <w:ilvl w:val="0"/>
          <w:numId w:val="1"/>
        </w:numPr>
        <w:spacing w:after="120" w:line="264"/>
      </w:pPr>
      <w:r>
        <w:rPr>
          <w:rFonts w:ascii="Calibri" w:cs="Calibri" w:eastAsia="Calibri" w:hAnsi="Calibri"/>
          <w:sz w:val="22"/>
          <w:szCs w:val="22"/>
        </w:rPr>
        <w:t xml:space="preserve">Do not pre-sign. Bring the complete paper affidavit and a current official photo ID, appear before a duly commissioned traditional notary within the notary's territorial authority, sign in the notary's presence, and take the oath or affirmation.</w:t>
      </w:r>
    </w:p>
    <w:p>
      <w:pPr>
        <w:pStyle w:val="ListParagraph"/>
        <w:keepNext/>
        <w:numPr>
          <w:ilvl w:val="0"/>
          <w:numId w:val="1"/>
        </w:numPr>
        <w:spacing w:after="120" w:line="264"/>
      </w:pPr>
      <w:r>
        <w:rPr>
          <w:rFonts w:ascii="Calibri" w:cs="Calibri" w:eastAsia="Calibri" w:hAnsi="Calibri"/>
          <w:sz w:val="22"/>
          <w:szCs w:val="22"/>
        </w:rPr>
        <w:t xml:space="preserve">Do not complete, edit, backdate, or imitate the notarial certificate, seal, commission, document/page/book/series numbers, electronic certificate, or identity findings. Those belong to the authorized notarial officer.</w:t>
      </w:r>
    </w:p>
    <w:p>
      <w:pPr>
        <w:pStyle w:val="ListParagraph"/>
        <w:keepNext/>
        <w:numPr>
          <w:ilvl w:val="0"/>
          <w:numId w:val="1"/>
        </w:numPr>
        <w:spacing w:after="120" w:line="264"/>
      </w:pPr>
      <w:r>
        <w:rPr>
          <w:rFonts w:ascii="Calibri" w:cs="Calibri" w:eastAsia="Calibri" w:hAnsi="Calibri"/>
          <w:sz w:val="22"/>
          <w:szCs w:val="22"/>
        </w:rPr>
        <w:t xml:space="preserve">Notify the issuer, account provider, employer, school, registry, or other responsible organization immediately where the missing item can be used, transferred, encashed, accessed, or impersonated; keep the case/reference number and follow protective instructions.</w:t>
      </w:r>
    </w:p>
    <w:p>
      <w:pPr>
        <w:pStyle w:val="ListParagraph"/>
        <w:keepNext/>
        <w:numPr>
          <w:ilvl w:val="0"/>
          <w:numId w:val="1"/>
        </w:numPr>
        <w:spacing w:after="120" w:line="264"/>
      </w:pPr>
      <w:r>
        <w:rPr>
          <w:rFonts w:ascii="Calibri" w:cs="Calibri" w:eastAsia="Calibri" w:hAnsi="Calibri"/>
          <w:sz w:val="22"/>
          <w:szCs w:val="22"/>
        </w:rPr>
        <w:t xml:space="preserve">Monitor for misuse and preserve later alerts or communications; make only factual reports and do not publicly accuse a person without reliable evidence.</w:t>
      </w:r>
    </w:p>
    <w:p>
      <w:pPr>
        <w:pStyle w:val="ListParagraph"/>
        <w:keepNext/>
        <w:numPr>
          <w:ilvl w:val="0"/>
          <w:numId w:val="1"/>
        </w:numPr>
        <w:spacing w:after="120" w:line="264"/>
      </w:pPr>
      <w:r>
        <w:rPr>
          <w:rFonts w:ascii="Calibri" w:cs="Calibri" w:eastAsia="Calibri" w:hAnsi="Calibri"/>
          <w:sz w:val="22"/>
          <w:szCs w:val="22"/>
        </w:rPr>
        <w:t xml:space="preserve">If the original is recovered after cancellation or replacement, do not use both versions. Notify the issuer and recipient immediately and surrender, destroy, or preserve the original only as lawfully instructed.</w:t>
      </w:r>
    </w:p>
    <w:p>
      <w:pPr>
        <w:pStyle w:val="ListParagraph"/>
        <w:keepNext w:val="false"/>
        <w:numPr>
          <w:ilvl w:val="0"/>
          <w:numId w:val="1"/>
        </w:numPr>
        <w:spacing w:after="120" w:line="264"/>
      </w:pPr>
      <w:r>
        <w:rPr>
          <w:rFonts w:ascii="Calibri" w:cs="Calibri" w:eastAsia="Calibri" w:hAnsi="Calibri"/>
          <w:sz w:val="22"/>
          <w:szCs w:val="22"/>
        </w:rPr>
        <w:t xml:space="preserve">Knowingly making an untruthful material statement in a required affidavit may constitute perjury under Article 183 as amended by Republic Act No. 11594; notarization verifies the notarial act, not the truth of invented facts.</w:t>
      </w:r>
    </w:p>
    <w:p>
      <w:pPr>
        <w:pStyle w:val="Heading2"/>
        <w:keepNext/>
        <w:pageBreakBefore/>
        <w:spacing w:after="140"/>
      </w:pPr>
      <w:r>
        <w:rPr>
          <w:rFonts w:ascii="Calibri" w:cs="Calibri" w:eastAsia="Calibri" w:hAnsi="Calibri"/>
          <w:b/>
          <w:bCs/>
          <w:color w:val="102B3F"/>
          <w:sz w:val="26"/>
          <w:szCs w:val="26"/>
        </w:rPr>
        <w:t xml:space="preserve">TEMPLATE AND LEGAL SOURCE RECORD — NOT PART OF THE INSTRUMENT</w:t>
      </w:r>
    </w:p>
    <w:p>
      <w:pPr>
        <w:spacing w:after="220" w:line="240"/>
      </w:pPr>
      <w:r>
        <w:rPr>
          <w:rFonts w:ascii="Calibri" w:cs="Calibri" w:eastAsia="Calibri" w:hAnsi="Calibri"/>
          <w:color w:val="566674"/>
          <w:sz w:val="18"/>
          <w:szCs w:val="18"/>
        </w:rPr>
        <w:t xml:space="preserve">Template v0.2.0 | Republic of the Philippines | Effective 2026-08-30 onward, subject to the recorded review cycle | Independent Philippine lawyer review pending | Last legal check 2026-10-01 | Next review due 2027-01-01</w:t>
      </w:r>
    </w:p>
    <w:p>
      <w:pPr>
        <w:keepNext/>
        <w:spacing w:after="60" w:before="100"/>
      </w:pPr>
      <w:r>
        <w:rPr>
          <w:rFonts w:ascii="Calibri" w:cs="Calibri" w:eastAsia="Calibri" w:hAnsi="Calibri"/>
          <w:b/>
          <w:bCs/>
          <w:sz w:val="18"/>
          <w:szCs w:val="18"/>
        </w:rPr>
        <w:t xml:space="preserve">2004 Rules on Notarial Practice, A.M. No. 02-8-13-SC - Rule II, Secs. 2, 6, and 12 and Rule IV on oaths, jurats, personal appearance, signing, and competent evidence of identity; Rule VIII, Sec. 2 on the contents of the notarial certificate (checked 2026-10-01)</w:t>
      </w:r>
    </w:p>
    <w:p>
      <w:pPr>
        <w:spacing w:after="120"/>
      </w:pPr>
      <w:hyperlink w:history="1" r:id="rIdxi59b1p5ze_1ra2umrgp_">
        <w:r>
          <w:rPr>
            <w:rFonts w:ascii="Calibri" w:cs="Calibri" w:eastAsia="Calibri" w:hAnsi="Calibri"/>
            <w:color w:val="315B75"/>
            <w:sz w:val="17"/>
            <w:szCs w:val="17"/>
            <w:u w:val="single"/>
          </w:rPr>
          <w:t xml:space="preserve">https://sc.judiciary.gov.ph/wp-content/uploads/2022/08/02-08-13-SC-1.pdf</w:t>
        </w:r>
      </w:hyperlink>
    </w:p>
    <w:p>
      <w:pPr>
        <w:keepNext/>
        <w:spacing w:after="60" w:before="100"/>
      </w:pPr>
      <w:r>
        <w:rPr>
          <w:rFonts w:ascii="Calibri" w:cs="Calibri" w:eastAsia="Calibri" w:hAnsi="Calibri"/>
          <w:b/>
          <w:bCs/>
          <w:sz w:val="18"/>
          <w:szCs w:val="18"/>
        </w:rPr>
        <w:t xml:space="preserve">2008 Amendment to the 2004 Rules on Notarial Practice - Amended definition and examples of competent evidence of identity (checked 2026-08-30)</w:t>
      </w:r>
    </w:p>
    <w:p>
      <w:pPr>
        <w:spacing w:after="120"/>
      </w:pPr>
      <w:hyperlink w:history="1" r:id="rId6ekqffw1jq2j4qefcdsks">
        <w:r>
          <w:rPr>
            <w:rFonts w:ascii="Calibri" w:cs="Calibri" w:eastAsia="Calibri" w:hAnsi="Calibri"/>
            <w:color w:val="315B75"/>
            <w:sz w:val="17"/>
            <w:szCs w:val="17"/>
            <w:u w:val="single"/>
          </w:rPr>
          <w:t xml:space="preserve">https://lawphil.net/courts/supreme/am/am_02_8_13_sc_2008.html</w:t>
        </w:r>
      </w:hyperlink>
    </w:p>
    <w:p>
      <w:pPr>
        <w:keepNext/>
        <w:spacing w:after="60" w:before="100"/>
      </w:pPr>
      <w:r>
        <w:rPr>
          <w:rFonts w:ascii="Calibri" w:cs="Calibri" w:eastAsia="Calibri" w:hAnsi="Calibri"/>
          <w:b/>
          <w:bCs/>
          <w:sz w:val="18"/>
          <w:szCs w:val="18"/>
        </w:rPr>
        <w:t xml:space="preserve">2025 Amendments to the 2004 Rules on Notarial Practice - Current digital reporting and duplicate-original safeguards effective June 21, 2025 (checked 2026-08-30)</w:t>
      </w:r>
    </w:p>
    <w:p>
      <w:pPr>
        <w:spacing w:after="120"/>
      </w:pPr>
      <w:hyperlink w:history="1" r:id="rIdqifcrrzzutlzht7nxo-7f">
        <w:r>
          <w:rPr>
            <w:rFonts w:ascii="Calibri" w:cs="Calibri" w:eastAsia="Calibri" w:hAnsi="Calibri"/>
            <w:color w:val="315B75"/>
            <w:sz w:val="17"/>
            <w:szCs w:val="17"/>
            <w:u w:val="single"/>
          </w:rPr>
          <w:t xml:space="preserve">https://sc.judiciary.gov.ph/sc-amends-notarial-rules-to-strengthen-digital-reporting-and-safeguards/</w:t>
        </w:r>
      </w:hyperlink>
    </w:p>
    <w:p>
      <w:pPr>
        <w:keepNext/>
        <w:spacing w:after="60" w:before="100"/>
      </w:pPr>
      <w:r>
        <w:rPr>
          <w:rFonts w:ascii="Calibri" w:cs="Calibri" w:eastAsia="Calibri" w:hAnsi="Calibri"/>
          <w:b/>
          <w:bCs/>
          <w:sz w:val="18"/>
          <w:szCs w:val="18"/>
        </w:rPr>
        <w:t xml:space="preserve">Rules on Electronic Notarization, A.M. No. 24-10-14-SC - Electronic oaths and jurats for PDF/PDF-A through SC-commissioned ENPs and accredited facilities; the SC announced on 25 September 2026 that electronic notarization officially launches on 19 October 2026 (checked 2026-10-01)</w:t>
      </w:r>
    </w:p>
    <w:p>
      <w:pPr>
        <w:spacing w:after="120"/>
      </w:pPr>
      <w:hyperlink w:history="1" r:id="rIdro4tirghywryqsqhwjg7v">
        <w:r>
          <w:rPr>
            <w:rFonts w:ascii="Calibri" w:cs="Calibri" w:eastAsia="Calibri" w:hAnsi="Calibri"/>
            <w:color w:val="315B75"/>
            <w:sz w:val="17"/>
            <w:szCs w:val="17"/>
            <w:u w:val="single"/>
          </w:rPr>
          <w:t xml:space="preserve">https://sc.judiciary.gov.ph/24-10-14-sc-rules-on-electronic-notarization/</w:t>
        </w:r>
      </w:hyperlink>
    </w:p>
    <w:p>
      <w:pPr>
        <w:keepNext/>
        <w:spacing w:after="60" w:before="100"/>
      </w:pPr>
      <w:r>
        <w:rPr>
          <w:rFonts w:ascii="Calibri" w:cs="Calibri" w:eastAsia="Calibri" w:hAnsi="Calibri"/>
          <w:b/>
          <w:bCs/>
          <w:sz w:val="18"/>
          <w:szCs w:val="18"/>
        </w:rPr>
        <w:t xml:space="preserve">Republic Act No. 11594 - Article 183 penalties for knowingly untruthful material statements in required affidavits (checked 2026-08-30)</w:t>
      </w:r>
    </w:p>
    <w:p>
      <w:pPr>
        <w:spacing w:after="120"/>
      </w:pPr>
      <w:hyperlink w:history="1" r:id="rIdramjtboxyoepk9rsuiqlw">
        <w:r>
          <w:rPr>
            <w:rFonts w:ascii="Calibri" w:cs="Calibri" w:eastAsia="Calibri" w:hAnsi="Calibri"/>
            <w:color w:val="315B75"/>
            <w:sz w:val="17"/>
            <w:szCs w:val="17"/>
            <w:u w:val="single"/>
          </w:rPr>
          <w:t xml:space="preserve">https://lawphil.net/statutes/repacts/ra2021/ra_11594_2021.html</w:t>
        </w:r>
      </w:hyperlink>
    </w:p>
    <w:p>
      <w:pPr>
        <w:keepNext/>
        <w:spacing w:after="60" w:before="100"/>
      </w:pPr>
      <w:r>
        <w:rPr>
          <w:rFonts w:ascii="Calibri" w:cs="Calibri" w:eastAsia="Calibri" w:hAnsi="Calibri"/>
          <w:b/>
          <w:bCs/>
          <w:sz w:val="18"/>
          <w:szCs w:val="18"/>
        </w:rPr>
        <w:t xml:space="preserve">DFA Passport Frequently Asked Questions - Lost valid and lost expired passports alike require a Police Report (in English) and a Notarized Affidavit of Loss, an appointment, and the PHP 350 penalty for lost and mutilated passports (checked 2026-10-01)</w:t>
      </w:r>
    </w:p>
    <w:p>
      <w:pPr>
        <w:spacing w:after="120"/>
      </w:pPr>
      <w:hyperlink w:history="1" r:id="rIdgz_r8xbivq0zf2biycjhg">
        <w:r>
          <w:rPr>
            <w:rFonts w:ascii="Calibri" w:cs="Calibri" w:eastAsia="Calibri" w:hAnsi="Calibri"/>
            <w:color w:val="315B75"/>
            <w:sz w:val="17"/>
            <w:szCs w:val="17"/>
            <w:u w:val="single"/>
          </w:rPr>
          <w:t xml:space="preserve">https://consular.dfa.gov.ph/passport-faq/</w:t>
        </w:r>
      </w:hyperlink>
    </w:p>
    <w:p>
      <w:pPr>
        <w:keepNext/>
        <w:spacing w:after="60" w:before="100"/>
      </w:pPr>
      <w:r>
        <w:rPr>
          <w:rFonts w:ascii="Calibri" w:cs="Calibri" w:eastAsia="Calibri" w:hAnsi="Calibri"/>
          <w:b/>
          <w:bCs/>
          <w:sz w:val="18"/>
          <w:szCs w:val="18"/>
        </w:rPr>
        <w:t xml:space="preserve">LTO Citizen's Charter 2024 - Duplicate driver's-license route requiring the original affidavit of loss and valid identification (checked 2026-08-30)</w:t>
      </w:r>
    </w:p>
    <w:p>
      <w:pPr>
        <w:spacing w:after="120"/>
      </w:pPr>
      <w:hyperlink w:history="1" r:id="rIdfxv_zf49xqzxtzwpz2740">
        <w:r>
          <w:rPr>
            <w:rFonts w:ascii="Calibri" w:cs="Calibri" w:eastAsia="Calibri" w:hAnsi="Calibri"/>
            <w:color w:val="315B75"/>
            <w:sz w:val="17"/>
            <w:szCs w:val="17"/>
            <w:u w:val="single"/>
          </w:rPr>
          <w:t xml:space="preserve">https://www.lto.gov.ph/wp-content/uploads/2024/05/LTO_CC_05-30-2024.pdf</w:t>
        </w:r>
      </w:hyperlink>
    </w:p>
    <w:p>
      <w:pPr>
        <w:keepNext/>
        <w:spacing w:after="60" w:before="100"/>
      </w:pPr>
      <w:r>
        <w:rPr>
          <w:rFonts w:ascii="Calibri" w:cs="Calibri" w:eastAsia="Calibri" w:hAnsi="Calibri"/>
          <w:b/>
          <w:bCs/>
          <w:sz w:val="18"/>
          <w:szCs w:val="18"/>
        </w:rPr>
        <w:t xml:space="preserve">Revised Corporation Code, Republic Act No. 11232 - Section 72: affidavit in triplicate filed by the registered owner or the owner's legal representative, stating the number of shares and the certificate's serial number; publication, waiting-period, bond/security, contest, and replacement procedure (checked 2026-10-01)</w:t>
      </w:r>
    </w:p>
    <w:p>
      <w:pPr>
        <w:spacing w:after="120"/>
      </w:pPr>
      <w:hyperlink w:history="1" r:id="rIdnslntgiuys9iqycb5qlzn">
        <w:r>
          <w:rPr>
            <w:rFonts w:ascii="Calibri" w:cs="Calibri" w:eastAsia="Calibri" w:hAnsi="Calibri"/>
            <w:color w:val="315B75"/>
            <w:sz w:val="17"/>
            <w:szCs w:val="17"/>
            <w:u w:val="single"/>
          </w:rPr>
          <w:t xml:space="preserve">https://lawphil.net/statutes/repacts/ra2019/ra_11232_2019.html</w:t>
        </w:r>
      </w:hyperlink>
    </w:p>
    <w:p>
      <w:pPr>
        <w:keepNext/>
        <w:spacing w:after="60" w:before="100"/>
      </w:pPr>
      <w:r>
        <w:rPr>
          <w:rFonts w:ascii="Calibri" w:cs="Calibri" w:eastAsia="Calibri" w:hAnsi="Calibri"/>
          <w:b/>
          <w:bCs/>
          <w:sz w:val="18"/>
          <w:szCs w:val="18"/>
        </w:rPr>
        <w:t xml:space="preserve">Property Registration Decree, Presidential Decree No. 1529 - Section 109 sworn notice, registration, court petition, notice, hearing, and issuance of a replacement owner's duplicate title (checked 2026-08-30)</w:t>
      </w:r>
    </w:p>
    <w:p>
      <w:pPr>
        <w:spacing w:after="120"/>
      </w:pPr>
      <w:hyperlink w:history="1" r:id="rIdqowzgvs5kxo29d1u-i8wt">
        <w:r>
          <w:rPr>
            <w:rFonts w:ascii="Calibri" w:cs="Calibri" w:eastAsia="Calibri" w:hAnsi="Calibri"/>
            <w:color w:val="315B75"/>
            <w:sz w:val="17"/>
            <w:szCs w:val="17"/>
            <w:u w:val="single"/>
          </w:rPr>
          <w:t xml:space="preserve">https://lawphil.net/statutes/presdecs/pd1978/pd_1529_1978.html</w:t>
        </w:r>
      </w:hyperlink>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87783"/>
        <w:sz w:val="16"/>
        <w:szCs w:val="16"/>
      </w:rPr>
      <w:t xml:space="preserve">LAW.PH · Template v0.2.0 · REVIEW PENDING · Page </w:t>
    </w:r>
    <w:r>
      <w:rPr>
        <w:color w:val="687783"/>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line="264"/>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jc w:val="center"/>
    </w:pPr>
    <w:rPr>
      <w:rFonts w:ascii="Calibri" w:cs="Calibri" w:eastAsia="Calibri" w:hAnsi="Calibri"/>
      <w:b/>
      <w:bCs/>
      <w:color w:val="102B3F"/>
      <w:sz w:val="30"/>
      <w:szCs w:val="3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i59b1p5ze_1ra2umrgp_" Type="http://schemas.openxmlformats.org/officeDocument/2006/relationships/hyperlink" Target="https://sc.judiciary.gov.ph/wp-content/uploads/2022/08/02-08-13-SC-1.pdf" TargetMode="External"/><Relationship Id="rId6ekqffw1jq2j4qefcdsks" Type="http://schemas.openxmlformats.org/officeDocument/2006/relationships/hyperlink" Target="https://lawphil.net/courts/supreme/am/am_02_8_13_sc_2008.html" TargetMode="External"/><Relationship Id="rIdqifcrrzzutlzht7nxo-7f" Type="http://schemas.openxmlformats.org/officeDocument/2006/relationships/hyperlink" Target="https://sc.judiciary.gov.ph/sc-amends-notarial-rules-to-strengthen-digital-reporting-and-safeguards/" TargetMode="External"/><Relationship Id="rIdro4tirghywryqsqhwjg7v" Type="http://schemas.openxmlformats.org/officeDocument/2006/relationships/hyperlink" Target="https://sc.judiciary.gov.ph/24-10-14-sc-rules-on-electronic-notarization/" TargetMode="External"/><Relationship Id="rIdramjtboxyoepk9rsuiqlw" Type="http://schemas.openxmlformats.org/officeDocument/2006/relationships/hyperlink" Target="https://lawphil.net/statutes/repacts/ra2021/ra_11594_2021.html" TargetMode="External"/><Relationship Id="rIdgz_r8xbivq0zf2biycjhg" Type="http://schemas.openxmlformats.org/officeDocument/2006/relationships/hyperlink" Target="https://consular.dfa.gov.ph/passport-faq/" TargetMode="External"/><Relationship Id="rIdfxv_zf49xqzxtzwpz2740" Type="http://schemas.openxmlformats.org/officeDocument/2006/relationships/hyperlink" Target="https://www.lto.gov.ph/wp-content/uploads/2024/05/LTO_CC_05-30-2024.pdf" TargetMode="External"/><Relationship Id="rIdnslntgiuys9iqycb5qlzn" Type="http://schemas.openxmlformats.org/officeDocument/2006/relationships/hyperlink" Target="https://lawphil.net/statutes/repacts/ra2019/ra_11232_2019.html" TargetMode="External"/><Relationship Id="rIdqowzgvs5kxo29d1u-i8wt" Type="http://schemas.openxmlformats.org/officeDocument/2006/relationships/hyperlink" Target="https://lawphil.net/statutes/presdecs/pd1978/pd_1529_1978.html" TargetMode="External"/><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Loss</dc:title>
  <dc:creator>LAW.PH</dc:creator>
  <dc:description>Free sample of the Affidavit of Loss from LAW.PH, with fictional details</dc:description>
  <cp:lastModifiedBy>Un-named</cp:lastModifiedBy>
  <cp:revision>1</cp:revision>
  <dcterms:created xsi:type="dcterms:W3CDTF">2026-10-02T05:29:58.227Z</dcterms:created>
  <dcterms:modified xsi:type="dcterms:W3CDTF">2026-10-02T05:29:58.228Z</dcterms:modified>
</cp:coreProperties>
</file>

<file path=docProps/custom.xml><?xml version="1.0" encoding="utf-8"?>
<Properties xmlns="http://schemas.openxmlformats.org/officeDocument/2006/custom-properties" xmlns:vt="http://schemas.openxmlformats.org/officeDocument/2006/docPropsVTypes"/>
</file>