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AFFIDAVIT OF UNDERTAKING</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REPUBLIC OF THE PHILIPPINES )</w:t>
      </w:r>
    </w:p>
    <w:p>
      <w:pPr>
        <w:keepLines/>
        <w:spacing w:after="120" w:line="264"/>
        <w:jc w:val="both"/>
      </w:pPr>
      <w:r>
        <w:rPr>
          <w:rFonts w:ascii="Calibri" w:cs="Calibri" w:eastAsia="Calibri" w:hAnsi="Calibri"/>
          <w:sz w:val="22"/>
          <w:szCs w:val="22"/>
        </w:rPr>
        <w:t xml:space="preserve">MAKATI CITY ) S.S.</w:t>
      </w:r>
    </w:p>
    <w:p>
      <w:pPr>
        <w:pStyle w:val="Heading2"/>
        <w:keepNext/>
        <w:spacing w:after="120" w:before="240"/>
      </w:pPr>
      <w:r>
        <w:rPr>
          <w:rFonts w:ascii="Calibri" w:cs="Calibri" w:eastAsia="Calibri" w:hAnsi="Calibri"/>
          <w:b/>
          <w:bCs/>
          <w:color w:val="102B3F"/>
          <w:sz w:val="26"/>
          <w:szCs w:val="26"/>
        </w:rPr>
        <w:t xml:space="preserve">SWORN STATEMENT AND UNDERTAKING</w:t>
      </w:r>
    </w:p>
    <w:p>
      <w:pPr>
        <w:keepLines/>
        <w:spacing w:after="120" w:line="264"/>
        <w:jc w:val="both"/>
      </w:pPr>
      <w:r>
        <w:rPr>
          <w:rFonts w:ascii="Calibri" w:cs="Calibri" w:eastAsia="Calibri" w:hAnsi="Calibri"/>
          <w:sz w:val="22"/>
          <w:szCs w:val="22"/>
        </w:rPr>
        <w:t xml:space="preserve">I, Maria Luz Santos, Filipino, of legal age, single, residing at 100 Ayala Avenue, Makati City 1226, after having been duly sworn in accordance with law, depose and state:</w:t>
      </w:r>
    </w:p>
    <w:p>
      <w:pPr>
        <w:keepLines/>
        <w:spacing w:after="120" w:line="264"/>
        <w:jc w:val="both"/>
      </w:pPr>
      <w:r>
        <w:rPr>
          <w:rFonts w:ascii="Calibri" w:cs="Calibri" w:eastAsia="Calibri" w:hAnsi="Calibri"/>
          <w:sz w:val="22"/>
          <w:szCs w:val="22"/>
        </w:rPr>
        <w:t xml:space="preserve">1. I execute this Affidavit in my own name as the owner of the sole proprietorship doing business under the name and style Santos Print Shop, registered as follows: DTI Business Name Registration No. 1234567. I have read and understood the undertaking and have authority over the performance I promise.</w:t>
      </w:r>
    </w:p>
    <w:p>
      <w:pPr>
        <w:keepLines/>
        <w:spacing w:after="120" w:line="264"/>
        <w:jc w:val="both"/>
      </w:pPr>
      <w:r>
        <w:rPr>
          <w:rFonts w:ascii="Calibri" w:cs="Calibri" w:eastAsia="Calibri" w:hAnsi="Calibri"/>
          <w:sz w:val="22"/>
          <w:szCs w:val="22"/>
        </w:rPr>
        <w:t xml:space="preserve">2. The recipient is City Business Permits and Licensing Office, through Document Compliance Desk. The identified source and reason for this request are: Written deficiency notice dated August 25, 2026, reference BPLO-2026-8812, requesting the identified fire-safety certificate</w:t>
      </w:r>
    </w:p>
    <w:p>
      <w:pPr>
        <w:keepLines/>
        <w:spacing w:after="120" w:line="264"/>
        <w:jc w:val="both"/>
      </w:pPr>
      <w:r>
        <w:rPr>
          <w:rFonts w:ascii="Calibri" w:cs="Calibri" w:eastAsia="Calibri" w:hAnsi="Calibri"/>
          <w:sz w:val="22"/>
          <w:szCs w:val="22"/>
        </w:rPr>
        <w:t xml:space="preserve">3. The necessary background facts are: My renewal filing was received on August 20, 2026, but the current fire-safety certificate was not yet available when the other verified requirements were submitted.</w:t>
      </w:r>
    </w:p>
    <w:p>
      <w:pPr>
        <w:keepLines/>
        <w:spacing w:after="120" w:line="264"/>
        <w:jc w:val="both"/>
      </w:pPr>
      <w:r>
        <w:rPr>
          <w:rFonts w:ascii="Calibri" w:cs="Calibri" w:eastAsia="Calibri" w:hAnsi="Calibri"/>
          <w:sz w:val="22"/>
          <w:szCs w:val="22"/>
        </w:rPr>
        <w:t xml:space="preserve">4. I specifically and voluntarily undertake to do or refrain from the following: I will obtain the current fire-safety certificate through the proper issuing office and submit the genuine certificate to the Document Compliance Desk.</w:t>
      </w:r>
    </w:p>
    <w:p>
      <w:pPr>
        <w:keepLines/>
        <w:spacing w:after="120" w:line="264"/>
        <w:jc w:val="both"/>
      </w:pPr>
      <w:r>
        <w:rPr>
          <w:rFonts w:ascii="Calibri" w:cs="Calibri" w:eastAsia="Calibri" w:hAnsi="Calibri"/>
          <w:sz w:val="22"/>
          <w:szCs w:val="22"/>
        </w:rPr>
        <w:t xml:space="preserve">5. Completion means delivery or achievement of: One current fire-safety certificate accepted under the recipient's verified renewal checklist. I will perform through Personal filing by the affiant at the Document Compliance Desk against a dated receiving copy at or through City Business Permits and Licensing Office, not later than September 29, 2026.</w:t>
      </w:r>
    </w:p>
    <w:p>
      <w:pPr>
        <w:keepLines/>
        <w:spacing w:after="120" w:line="264"/>
        <w:jc w:val="both"/>
      </w:pPr>
      <w:r>
        <w:rPr>
          <w:rFonts w:ascii="Calibri" w:cs="Calibri" w:eastAsia="Calibri" w:hAnsi="Calibri"/>
          <w:sz w:val="22"/>
          <w:szCs w:val="22"/>
        </w:rPr>
        <w:t xml:space="preserve">6. Performance may begin upon lawful acceptance of this Affidavit, subject to the objective deadline above.</w:t>
      </w:r>
    </w:p>
    <w:p>
      <w:pPr>
        <w:keepLines/>
        <w:spacing w:after="120" w:line="264"/>
        <w:jc w:val="both"/>
      </w:pPr>
      <w:r>
        <w:rPr>
          <w:rFonts w:ascii="Calibri" w:cs="Calibri" w:eastAsia="Calibri" w:hAnsi="Calibri"/>
          <w:sz w:val="22"/>
          <w:szCs w:val="22"/>
        </w:rPr>
        <w:t xml:space="preserve">7. Known dependencies or prerequisites are: none presently identified beyond the recipient's ordinary lawful processing. I will not use an undisclosed third-party dependency to make the undertaking illusory.</w:t>
      </w:r>
    </w:p>
    <w:p>
      <w:pPr>
        <w:keepLines/>
        <w:spacing w:after="120" w:line="264"/>
        <w:jc w:val="both"/>
      </w:pPr>
      <w:r>
        <w:rPr>
          <w:rFonts w:ascii="Calibri" w:cs="Calibri" w:eastAsia="Calibri" w:hAnsi="Calibri"/>
          <w:sz w:val="22"/>
          <w:szCs w:val="22"/>
        </w:rPr>
        <w:t xml:space="preserve">8. Objective evidence of completion will be: Recipient-stamped receiving copy stating the certificate title, filing date, and transaction reference. I will deliver completion notice and evidence as follows: Email the stamped receiving copy to the verified BPLO compliance address within one business day after filing</w:t>
      </w:r>
    </w:p>
    <w:p>
      <w:pPr>
        <w:keepLines/>
        <w:spacing w:after="120" w:line="264"/>
        <w:jc w:val="both"/>
      </w:pPr>
      <w:r>
        <w:rPr>
          <w:rFonts w:ascii="Calibri" w:cs="Calibri" w:eastAsia="Calibri" w:hAnsi="Calibri"/>
          <w:sz w:val="22"/>
          <w:szCs w:val="22"/>
        </w:rPr>
        <w:t xml:space="preserve">9. This undertaking does not transfer ownership, create an undisclosed financial obligation, or substitute for a deed, payment agreement, settlement, or other purpose-specific instrument.</w:t>
      </w:r>
    </w:p>
    <w:p>
      <w:pPr>
        <w:keepLines/>
        <w:spacing w:after="120" w:line="264"/>
        <w:jc w:val="both"/>
      </w:pPr>
      <w:r>
        <w:rPr>
          <w:rFonts w:ascii="Calibri" w:cs="Calibri" w:eastAsia="Calibri" w:hAnsi="Calibri"/>
          <w:sz w:val="22"/>
          <w:szCs w:val="22"/>
        </w:rPr>
        <w:t xml:space="preserve">10. No existing agreement, order, or formal commitment has been identified as governing this undertaking. The recipient must not treat this affidavit as containing hidden or external terms.</w:t>
      </w:r>
    </w:p>
    <w:p>
      <w:pPr>
        <w:keepLines/>
        <w:spacing w:after="120" w:line="264"/>
        <w:jc w:val="both"/>
      </w:pPr>
      <w:r>
        <w:rPr>
          <w:rFonts w:ascii="Calibri" w:cs="Calibri" w:eastAsia="Calibri" w:hAnsi="Calibri"/>
          <w:sz w:val="22"/>
          <w:szCs w:val="22"/>
        </w:rPr>
        <w:t xml:space="preserve">11. Notices about delay, completion, or alleged non-compliance must be sent by Written notice by personal delivery or verified electronic mail to BPLO Document Compliance Desk and its verified official email address. Where lawful, I will have 5 calendar days from actual receipt of a sufficiently specific written notice to cure remediable non-performance.</w:t>
      </w:r>
    </w:p>
    <w:p>
      <w:pPr>
        <w:keepLines/>
        <w:spacing w:after="120" w:line="264"/>
        <w:jc w:val="both"/>
      </w:pPr>
      <w:r>
        <w:rPr>
          <w:rFonts w:ascii="Calibri" w:cs="Calibri" w:eastAsia="Calibri" w:hAnsi="Calibri"/>
          <w:sz w:val="22"/>
          <w:szCs w:val="22"/>
        </w:rPr>
        <w:t xml:space="preserve">12. Consequences are limited to this verified basis: This affidavit creates no penalty beyond consequences independently authorized by law, the recipient's governing rules, or a separately valid agreement. This Affidavit does not create an automatic criminal admission, confession of judgment, forfeiture, eviction, dismissal, fine, penalty, waiver, or entitlement not independently authorized by law or a valid identified agreement.</w:t>
      </w:r>
    </w:p>
    <w:p>
      <w:pPr>
        <w:keepLines/>
        <w:spacing w:after="120" w:line="264"/>
        <w:jc w:val="both"/>
      </w:pPr>
      <w:r>
        <w:rPr>
          <w:rFonts w:ascii="Calibri" w:cs="Calibri" w:eastAsia="Calibri" w:hAnsi="Calibri"/>
          <w:sz w:val="22"/>
          <w:szCs w:val="22"/>
        </w:rPr>
        <w:t xml:space="preserve">13. I understand that notarization records the oath and notarial act; it does not make an impossible or unlawful promise enforceable, validate a false fact, supply missing contractual consent or consideration, transfer property, waive protected rights, or guarantee the recipient's acceptance.</w:t>
      </w:r>
    </w:p>
    <w:p>
      <w:pPr>
        <w:keepLines/>
        <w:spacing w:after="120" w:line="264"/>
        <w:jc w:val="both"/>
      </w:pPr>
      <w:r>
        <w:rPr>
          <w:rFonts w:ascii="Calibri" w:cs="Calibri" w:eastAsia="Calibri" w:hAnsi="Calibri"/>
          <w:sz w:val="22"/>
          <w:szCs w:val="22"/>
        </w:rPr>
        <w:t xml:space="preserve">14. I have read and understood this complete Affidavit. The existing facts stated here are true and complete based on my personal knowledge and the records identified, and the future undertaking is specific, voluntary, lawful, and made in good faith.</w:t>
      </w:r>
    </w:p>
    <w:p>
      <w:pPr>
        <w:keepNext/>
        <w:spacing w:after="260" w:before="360"/>
      </w:pPr>
      <w:r>
        <w:rPr>
          <w:rFonts w:ascii="Calibri" w:cs="Calibri" w:eastAsia="Calibri" w:hAnsi="Calibri"/>
          <w:b/>
          <w:bCs/>
          <w:sz w:val="22"/>
          <w:szCs w:val="22"/>
        </w:rPr>
        <w:t xml:space="preserve">IN WITNESS WHEREOF, I have signed this Affidavit this ____ day of __________ 20____ at __________________,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Luz Santos</w:t>
            </w:r>
          </w:p>
          <w:p>
            <w:pPr>
              <w:spacing w:after="120"/>
            </w:pPr>
            <w:r>
              <w:rPr>
                <w:rFonts w:ascii="Calibri" w:cs="Calibri" w:eastAsia="Calibri" w:hAnsi="Calibri"/>
                <w:sz w:val="22"/>
                <w:szCs w:val="22"/>
              </w:rPr>
              <w:t xml:space="preserve">Signature over printed name: ______________________________</w:t>
            </w:r>
          </w:p>
          <w:p>
            <w:pPr>
              <w:spacing w:after="120"/>
            </w:pPr>
            <w:r>
              <w:rPr>
                <w:rFonts w:ascii="Calibri" w:cs="Calibri" w:eastAsia="Calibri" w:hAnsi="Calibri"/>
                <w:sz w:val="22"/>
                <w:szCs w:val="22"/>
              </w:rPr>
              <w:t xml:space="preserve">Affiant, owner of Santos Print Shop</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JURAT — FOR THE NOTARIAL OFFICER TO COMPLETE</w:t>
      </w:r>
    </w:p>
    <w:p>
      <w:pPr>
        <w:keepLines/>
        <w:spacing w:after="120" w:line="264"/>
        <w:jc w:val="both"/>
      </w:pPr>
      <w:r>
        <w:rPr>
          <w:rFonts w:ascii="Calibri" w:cs="Calibri" w:eastAsia="Calibri" w:hAnsi="Calibri"/>
          <w:sz w:val="22"/>
          <w:szCs w:val="22"/>
        </w:rPr>
        <w:t xml:space="preserve">SUBSCRIBED AND SWORN to before me on __________________ at Makati City, Philippines. The Affiant personally appeared, signed this complete Affidavit in my presence, took an oath or affirmation as to its contents, and was identified through competent evidence of identity, the particulars of which I record as follows: Current government-issued photo ID / ID No. __________________ / issued at __________________ / issued on __________________ / valid until __________________.</w:t>
      </w:r>
    </w:p>
    <w:p>
      <w:pPr>
        <w:keepLines/>
        <w:spacing w:after="120" w:line="264"/>
        <w:jc w:val="both"/>
      </w:pPr>
      <w:r>
        <w:rPr>
          <w:rFonts w:ascii="Calibri" w:cs="Calibri" w:eastAsia="Calibri" w:hAnsi="Calibri"/>
          <w:sz w:val="22"/>
          <w:szCs w:val="22"/>
        </w:rPr>
        <w:t xml:space="preserve">NOTARY PUBLIC
Notary Public for __________________ until December 31, 20____
Commission No.: __________________
Roll of Attorneys No.: __________________
PTR No.: __________ / date: __________ / place: __________
IBP No.: __________ / date: __________
MCLE Compliance No.: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Verify every background fact, authority record, requirement, amount, deadline, dependency, recipient channel, and consequence against primary documents. Remove any fact the affiant cannot truthfully swear to.</w:t>
      </w:r>
    </w:p>
    <w:p>
      <w:pPr>
        <w:pStyle w:val="ListParagraph"/>
        <w:keepNext/>
        <w:numPr>
          <w:ilvl w:val="0"/>
          <w:numId w:val="1"/>
        </w:numPr>
        <w:spacing w:after="120" w:line="264"/>
      </w:pPr>
      <w:r>
        <w:rPr>
          <w:rFonts w:ascii="Calibri" w:cs="Calibri" w:eastAsia="Calibri" w:hAnsi="Calibri"/>
          <w:sz w:val="22"/>
          <w:szCs w:val="22"/>
        </w:rPr>
        <w:t xml:space="preserve">Confirm the recipient's current official form, exact wording, required attachments, number of originals/copies, filing channel, deadline, fees, and acceptance authority before signing.</w:t>
      </w:r>
    </w:p>
    <w:p>
      <w:pPr>
        <w:pStyle w:val="ListParagraph"/>
        <w:keepNext/>
        <w:numPr>
          <w:ilvl w:val="0"/>
          <w:numId w:val="1"/>
        </w:numPr>
        <w:spacing w:after="120" w:line="264"/>
      </w:pPr>
      <w:r>
        <w:rPr>
          <w:rFonts w:ascii="Calibri" w:cs="Calibri" w:eastAsia="Calibri" w:hAnsi="Calibri"/>
          <w:sz w:val="22"/>
          <w:szCs w:val="22"/>
        </w:rPr>
        <w:t xml:space="preserve">Compare the undertaking with every related contract, order, permit, policy, school/employment rule, and prior communication. A later affidavit should not accidentally vary an existing agreement or concede a disputed matter.</w:t>
      </w:r>
    </w:p>
    <w:p>
      <w:pPr>
        <w:pStyle w:val="ListParagraph"/>
        <w:keepNext/>
        <w:numPr>
          <w:ilvl w:val="0"/>
          <w:numId w:val="1"/>
        </w:numPr>
        <w:spacing w:after="120" w:line="264"/>
      </w:pPr>
      <w:r>
        <w:rPr>
          <w:rFonts w:ascii="Calibri" w:cs="Calibri" w:eastAsia="Calibri" w:hAnsi="Calibri"/>
          <w:sz w:val="22"/>
          <w:szCs w:val="22"/>
        </w:rPr>
        <w:t xml:space="preserve">Do not pre-sign. Bring the complete affidavit and acceptable current photo identification, appear before a duly commissioned traditional notary within territorial authority, sign in the notary's presence, and take the oath or affirmation.</w:t>
      </w:r>
    </w:p>
    <w:p>
      <w:pPr>
        <w:pStyle w:val="ListParagraph"/>
        <w:keepNext/>
        <w:numPr>
          <w:ilvl w:val="0"/>
          <w:numId w:val="1"/>
        </w:numPr>
        <w:spacing w:after="120" w:line="264"/>
      </w:pPr>
      <w:r>
        <w:rPr>
          <w:rFonts w:ascii="Calibri" w:cs="Calibri" w:eastAsia="Calibri" w:hAnsi="Calibri"/>
          <w:sz w:val="22"/>
          <w:szCs w:val="22"/>
        </w:rPr>
        <w:t xml:space="preserve">Do not complete, edit, backdate, or imitate the jurat, seal, commission, document/page/book/series numbers, electronic certificate, or identity finding. Those belong to the authorized notarial officer.</w:t>
      </w:r>
    </w:p>
    <w:p>
      <w:pPr>
        <w:pStyle w:val="ListParagraph"/>
        <w:keepNext/>
        <w:numPr>
          <w:ilvl w:val="0"/>
          <w:numId w:val="1"/>
        </w:numPr>
        <w:spacing w:after="120" w:line="264"/>
      </w:pPr>
      <w:r>
        <w:rPr>
          <w:rFonts w:ascii="Calibri" w:cs="Calibri" w:eastAsia="Calibri" w:hAnsi="Calibri"/>
          <w:sz w:val="22"/>
          <w:szCs w:val="22"/>
        </w:rPr>
        <w:t xml:space="preserve">Keep acknowledged copies, delivery proof, third-party applications, receipts, completion evidence, notices, and recipient responses in one dated file. Do not alter the signed affidavit after notarization.</w:t>
      </w:r>
    </w:p>
    <w:p>
      <w:pPr>
        <w:pStyle w:val="ListParagraph"/>
        <w:keepNext w:val="false"/>
        <w:numPr>
          <w:ilvl w:val="0"/>
          <w:numId w:val="1"/>
        </w:numPr>
        <w:spacing w:after="120" w:line="264"/>
      </w:pPr>
      <w:r>
        <w:rPr>
          <w:rFonts w:ascii="Calibri" w:cs="Calibri" w:eastAsia="Calibri" w:hAnsi="Calibri"/>
          <w:sz w:val="22"/>
          <w:szCs w:val="22"/>
        </w:rPr>
        <w:t xml:space="preserve">Share only the personal data and attachments genuinely needed for the stated recipient and purpose. Use secure transmission, redact unnecessary identifiers, and follow a documented retention limit.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Independent Philippine lawyer review pending | Last legal check 2026-10-01 | Next review due 2026-11-01</w:t>
      </w:r>
    </w:p>
    <w:p>
      <w:pPr>
        <w:keepNext/>
        <w:spacing w:after="60" w:before="100"/>
      </w:pPr>
      <w:r>
        <w:rPr>
          <w:rFonts w:ascii="Calibri" w:cs="Calibri" w:eastAsia="Calibri" w:hAnsi="Calibri"/>
          <w:b/>
          <w:bCs/>
          <w:sz w:val="18"/>
          <w:szCs w:val="18"/>
        </w:rPr>
        <w:t xml:space="preserve">Civil Code of the Philippines, Republic Act No. 386 - Arts. 1159, 1305–1308, 1347–1349, 1356–1358 on contractual force, autonomy and limits, determinate and possible objects, and required forms (checked 2026-08-30)</w:t>
      </w:r>
    </w:p>
    <w:p>
      <w:pPr>
        <w:spacing w:after="120"/>
      </w:pPr>
      <w:hyperlink w:history="1" r:id="rIdnswbrasyqk923q6nwo8um">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Tan v. Court of Appeals, G.R. No. 142401 - An affidavit of undertaking may have enforceable consequences based on its facts, terms, conduct, and adjudicated validity; labels alone do not resolve effect (checked 2026-08-30)</w:t>
      </w:r>
    </w:p>
    <w:p>
      <w:pPr>
        <w:spacing w:after="120"/>
      </w:pPr>
      <w:hyperlink w:history="1" r:id="rId6ahniuhqaxua4fivi80uy">
        <w:r>
          <w:rPr>
            <w:rFonts w:ascii="Calibri" w:cs="Calibri" w:eastAsia="Calibri" w:hAnsi="Calibri"/>
            <w:color w:val="315B75"/>
            <w:sz w:val="17"/>
            <w:szCs w:val="17"/>
            <w:u w:val="single"/>
          </w:rPr>
          <w:t xml:space="preserve">https://lawphil.net/judjuris/juri2001/aug2001/gr_142401_2001.html</w:t>
        </w:r>
      </w:hyperlink>
    </w:p>
    <w:p>
      <w:pPr>
        <w:keepNext/>
        <w:spacing w:after="60" w:before="100"/>
      </w:pPr>
      <w:r>
        <w:rPr>
          <w:rFonts w:ascii="Calibri" w:cs="Calibri" w:eastAsia="Calibri" w:hAnsi="Calibri"/>
          <w:b/>
          <w:bCs/>
          <w:sz w:val="18"/>
          <w:szCs w:val="18"/>
        </w:rPr>
        <w:t xml:space="preserve">Supreme Court Decision, G.R. No. 253527 - A notary attests the oath and jurat; notarization does not guarantee the truth or validity of affidavit contents (checked 2026-08-30)</w:t>
      </w:r>
    </w:p>
    <w:p>
      <w:pPr>
        <w:spacing w:after="120"/>
      </w:pPr>
      <w:hyperlink w:history="1" r:id="rIdd2ifzoxx9wgcmntgjvhih">
        <w:r>
          <w:rPr>
            <w:rFonts w:ascii="Calibri" w:cs="Calibri" w:eastAsia="Calibri" w:hAnsi="Calibri"/>
            <w:color w:val="315B75"/>
            <w:sz w:val="17"/>
            <w:szCs w:val="17"/>
            <w:u w:val="single"/>
          </w:rPr>
          <w:t xml:space="preserve">https://sc.judiciary.gov.ph/wp-content/uploads/2025/06/253527.pdf</w:t>
        </w:r>
      </w:hyperlink>
    </w:p>
    <w:p>
      <w:pPr>
        <w:keepNext/>
        <w:spacing w:after="60" w:before="100"/>
      </w:pPr>
      <w:r>
        <w:rPr>
          <w:rFonts w:ascii="Calibri" w:cs="Calibri" w:eastAsia="Calibri" w:hAnsi="Calibri"/>
          <w:b/>
          <w:bCs/>
          <w:sz w:val="18"/>
          <w:szCs w:val="18"/>
        </w:rPr>
        <w:t xml:space="preserve">2004 Rules on Notarial Practice, A.M. No. 02-8-13-SC - Complete document, oath, jurat, personal appearance, signature, and competent evidence of identity; Rule VIII, Sec. 2 on the contents of the notarial certificate (checked 2026-10-01)</w:t>
      </w:r>
    </w:p>
    <w:p>
      <w:pPr>
        <w:spacing w:after="120"/>
      </w:pPr>
      <w:hyperlink w:history="1" r:id="rIdh0daxnemabd1_a36_8tzc">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2025 Amendments to the 2004 Rules on Notarial Practice - Current digital reporting and duplicate-original safeguards effective June 21, 2025 (checked 2026-08-30)</w:t>
      </w:r>
    </w:p>
    <w:p>
      <w:pPr>
        <w:spacing w:after="120"/>
      </w:pPr>
      <w:hyperlink w:history="1" r:id="rIdangzd8p4ans81rytfln45">
        <w:r>
          <w:rPr>
            <w:rFonts w:ascii="Calibri" w:cs="Calibri" w:eastAsia="Calibri" w:hAnsi="Calibri"/>
            <w:color w:val="315B75"/>
            <w:sz w:val="17"/>
            <w:szCs w:val="17"/>
            <w:u w:val="single"/>
          </w:rPr>
          <w:t xml:space="preserve">https://sc.judiciary.gov.ph/sc-amends-notarial-rules-to-strengthen-digital-reporting-and-safeguards/</w:t>
        </w:r>
      </w:hyperlink>
    </w:p>
    <w:p>
      <w:pPr>
        <w:keepNext/>
        <w:spacing w:after="60" w:before="100"/>
      </w:pPr>
      <w:r>
        <w:rPr>
          <w:rFonts w:ascii="Calibri" w:cs="Calibri" w:eastAsia="Calibri" w:hAnsi="Calibri"/>
          <w:b/>
          <w:bCs/>
          <w:sz w:val="18"/>
          <w:szCs w:val="18"/>
        </w:rPr>
        <w:t xml:space="preserve">Rules on Electronic Notarization, A.M. No. 24-10-14-SC - Electronic oath and jurat for PDF/PDF-A through SC-commissioned ENPs and accredited facilities; the SC announced on 25 September 2026 that electronic notarization officially launches on 19 October 2026 (checked 2026-10-01)</w:t>
      </w:r>
    </w:p>
    <w:p>
      <w:pPr>
        <w:spacing w:after="120"/>
      </w:pPr>
      <w:hyperlink w:history="1" r:id="rIdxtzcrikwgcf6ezwcay8lo">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Republic Act No. 11594 - Article 183 penalties for knowingly untruthful material statements in required affidavits (checked 2026-08-30)</w:t>
      </w:r>
    </w:p>
    <w:p>
      <w:pPr>
        <w:spacing w:after="120"/>
      </w:pPr>
      <w:hyperlink w:history="1" r:id="rIdwqlosm6ds3e5qrqwowzor">
        <w:r>
          <w:rPr>
            <w:rFonts w:ascii="Calibri" w:cs="Calibri" w:eastAsia="Calibri" w:hAnsi="Calibri"/>
            <w:color w:val="315B75"/>
            <w:sz w:val="17"/>
            <w:szCs w:val="17"/>
            <w:u w:val="single"/>
          </w:rPr>
          <w:t xml:space="preserve">https://lawphil.net/statutes/repacts/ra2021/ra_11594_2021.html</w:t>
        </w:r>
      </w:hyperlink>
    </w:p>
    <w:p>
      <w:pPr>
        <w:keepNext/>
        <w:spacing w:after="60" w:before="100"/>
      </w:pPr>
      <w:r>
        <w:rPr>
          <w:rFonts w:ascii="Calibri" w:cs="Calibri" w:eastAsia="Calibri" w:hAnsi="Calibri"/>
          <w:b/>
          <w:bCs/>
          <w:sz w:val="18"/>
          <w:szCs w:val="18"/>
        </w:rPr>
        <w:t xml:space="preserve">Republic Act No. 10173, Data Privacy Act of 2012 - Transparency, legitimate purpose, proportionality, accuracy, retention, security, and sensitive-personal-information controls (checked 2026-08-30)</w:t>
      </w:r>
    </w:p>
    <w:p>
      <w:pPr>
        <w:spacing w:after="120"/>
      </w:pPr>
      <w:hyperlink w:history="1" r:id="rId5xxlh1-7mlz2cghjvtnhd">
        <w:r>
          <w:rPr>
            <w:rFonts w:ascii="Calibri" w:cs="Calibri" w:eastAsia="Calibri" w:hAnsi="Calibri"/>
            <w:color w:val="315B75"/>
            <w:sz w:val="17"/>
            <w:szCs w:val="17"/>
            <w:u w:val="single"/>
          </w:rPr>
          <w:t xml:space="preserve">https://privacy.gov.ph/data-privacy-act/</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wbrasyqk923q6nwo8um" Type="http://schemas.openxmlformats.org/officeDocument/2006/relationships/hyperlink" Target="https://lawphil.net/statutes/repacts/ra1949/ra_386_1949.html" TargetMode="External"/><Relationship Id="rId6ahniuhqaxua4fivi80uy" Type="http://schemas.openxmlformats.org/officeDocument/2006/relationships/hyperlink" Target="https://lawphil.net/judjuris/juri2001/aug2001/gr_142401_2001.html" TargetMode="External"/><Relationship Id="rIdd2ifzoxx9wgcmntgjvhih" Type="http://schemas.openxmlformats.org/officeDocument/2006/relationships/hyperlink" Target="https://sc.judiciary.gov.ph/wp-content/uploads/2025/06/253527.pdf" TargetMode="External"/><Relationship Id="rIdh0daxnemabd1_a36_8tzc" Type="http://schemas.openxmlformats.org/officeDocument/2006/relationships/hyperlink" Target="https://sc.judiciary.gov.ph/wp-content/uploads/2022/08/02-08-13-SC-1.pdf" TargetMode="External"/><Relationship Id="rIdangzd8p4ans81rytfln45" Type="http://schemas.openxmlformats.org/officeDocument/2006/relationships/hyperlink" Target="https://sc.judiciary.gov.ph/sc-amends-notarial-rules-to-strengthen-digital-reporting-and-safeguards/" TargetMode="External"/><Relationship Id="rIdxtzcrikwgcf6ezwcay8lo" Type="http://schemas.openxmlformats.org/officeDocument/2006/relationships/hyperlink" Target="https://sc.judiciary.gov.ph/24-10-14-sc-rules-on-electronic-notarization/" TargetMode="External"/><Relationship Id="rIdwqlosm6ds3e5qrqwowzor" Type="http://schemas.openxmlformats.org/officeDocument/2006/relationships/hyperlink" Target="https://lawphil.net/statutes/repacts/ra2021/ra_11594_2021.html" TargetMode="External"/><Relationship Id="rId5xxlh1-7mlz2cghjvtnhd" Type="http://schemas.openxmlformats.org/officeDocument/2006/relationships/hyperlink" Target="https://privacy.gov.ph/data-privacy-act/"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Undertaking</dc:title>
  <dc:creator>LAW.PH</dc:creator>
  <dc:description>Free sample of the Affidavit of Undertaking from LAW.PH, with fictional details</dc:description>
  <cp:lastModifiedBy>Un-named</cp:lastModifiedBy>
  <cp:revision>1</cp:revision>
  <dcterms:created xsi:type="dcterms:W3CDTF">2026-10-02T05:29:58.120Z</dcterms:created>
  <dcterms:modified xsi:type="dcterms:W3CDTF">2026-10-02T05:29:58.120Z</dcterms:modified>
</cp:coreProperties>
</file>

<file path=docProps/custom.xml><?xml version="1.0" encoding="utf-8"?>
<Properties xmlns="http://schemas.openxmlformats.org/officeDocument/2006/custom-properties" xmlns:vt="http://schemas.openxmlformats.org/officeDocument/2006/docPropsVTypes"/>
</file>