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ASSIGNMENT OF CONTRACTUAL RIGHTS</w:t>
      </w:r>
    </w:p>
    <w:p>
      <w:pPr>
        <w:spacing w:after="160"/>
        <w:jc w:val="center"/>
      </w:pPr>
      <w:r>
        <w:rPr>
          <w:rFonts w:ascii="Calibri" w:cs="Calibri" w:eastAsia="Calibri" w:hAnsi="Calibri"/>
          <w:color w:val="566674"/>
          <w:sz w:val="18"/>
          <w:szCs w:val="18"/>
        </w:rPr>
        <w:t xml:space="preserve">Republic of the Philippines — Transfer of contractual rights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contract-lawyer review pending</w:t>
      </w:r>
    </w:p>
    <w:p>
      <w:pPr>
        <w:keepLines/>
        <w:spacing w:after="120" w:line="264"/>
        <w:jc w:val="both"/>
      </w:pPr>
      <w:r>
        <w:rPr>
          <w:rFonts w:ascii="Calibri" w:cs="Calibri" w:eastAsia="Calibri" w:hAnsi="Calibri"/>
          <w:sz w:val="22"/>
          <w:szCs w:val="22"/>
        </w:rPr>
        <w:t xml:space="preserve">This Assignment of Contractual Rights (the "Assignment") is made on September 16, 2026 at Makati City, Philippines, between:</w:t>
      </w:r>
    </w:p>
    <w:p>
      <w:pPr>
        <w:keepLines/>
        <w:spacing w:after="120" w:line="264"/>
        <w:jc w:val="both"/>
      </w:pPr>
      <w:r>
        <w:rPr>
          <w:rFonts w:ascii="Calibri" w:cs="Calibri" w:eastAsia="Calibri" w:hAnsi="Calibri"/>
          <w:sz w:val="22"/>
          <w:szCs w:val="22"/>
        </w:rPr>
        <w:t xml:space="preserve">Sampaguita Trading Corporation, with address at 22 Bonifacio Street, Cebu City 6000, represented by Ramon L. Uy, President, who is authorized to sign this Assignment under Board Resolution No. 2026-09 dated 10 September 2026, certified by the Corporate Secretary (the "Assignor"); and</w:t>
      </w:r>
    </w:p>
    <w:p>
      <w:pPr>
        <w:keepLines/>
        <w:spacing w:after="120" w:line="264"/>
        <w:jc w:val="both"/>
      </w:pPr>
      <w:r>
        <w:rPr>
          <w:rFonts w:ascii="Calibri" w:cs="Calibri" w:eastAsia="Calibri" w:hAnsi="Calibri"/>
          <w:sz w:val="22"/>
          <w:szCs w:val="22"/>
        </w:rPr>
        <w:t xml:space="preserve">Bayanihan Receivables Inc., with address at 15/F BPI Tower, Ayala Avenue, Makati City 1226, represented by Andrea M. Reyes, Treasurer, who is authorized to sign this Assignment under Secretary's Certificate dated 12 September 2026 on Board Resolution No. 14-2026 (the "Assignee").</w:t>
      </w:r>
    </w:p>
    <w:p>
      <w:pPr>
        <w:pStyle w:val="Heading2"/>
        <w:keepNext/>
        <w:spacing w:after="120" w:before="240"/>
      </w:pPr>
      <w:r>
        <w:rPr>
          <w:rFonts w:ascii="Calibri" w:cs="Calibri" w:eastAsia="Calibri" w:hAnsi="Calibri"/>
          <w:b/>
          <w:bCs/>
          <w:color w:val="102B3F"/>
          <w:sz w:val="26"/>
          <w:szCs w:val="26"/>
        </w:rPr>
        <w:t xml:space="preserve">Recitals</w:t>
      </w:r>
    </w:p>
    <w:p>
      <w:pPr>
        <w:keepLines/>
        <w:spacing w:after="120" w:line="264"/>
        <w:jc w:val="both"/>
      </w:pPr>
      <w:r>
        <w:rPr>
          <w:rFonts w:ascii="Calibri" w:cs="Calibri" w:eastAsia="Calibri" w:hAnsi="Calibri"/>
          <w:sz w:val="22"/>
          <w:szCs w:val="22"/>
        </w:rPr>
        <w:t xml:space="preserve">The Assignor and Mabuhay Retail Holdings, Inc., with address at 3 Ortigas Center, Pasig City 1605 (the "Obligor") are parties to the Supply Agreement No. SUP-2026-014 dated May 4, 2026 (the "Contract"). The Obligor is not a party to this Assignment and will be given notice of it as stated below.</w:t>
      </w:r>
    </w:p>
    <w:p>
      <w:pPr>
        <w:keepLines/>
        <w:spacing w:after="120" w:line="264"/>
        <w:jc w:val="both"/>
      </w:pPr>
      <w:r>
        <w:rPr>
          <w:rFonts w:ascii="Calibri" w:cs="Calibri" w:eastAsia="Calibri" w:hAnsi="Calibri"/>
          <w:sz w:val="22"/>
          <w:szCs w:val="22"/>
        </w:rPr>
        <w:t xml:space="preserve">The Assignor wishes to assign, and the Assignee wishes to take, the rights described below.</w:t>
      </w:r>
    </w:p>
    <w:p>
      <w:pPr>
        <w:pStyle w:val="Heading2"/>
        <w:keepNext/>
        <w:spacing w:after="120" w:before="240"/>
      </w:pPr>
      <w:r>
        <w:rPr>
          <w:rFonts w:ascii="Calibri" w:cs="Calibri" w:eastAsia="Calibri" w:hAnsi="Calibri"/>
          <w:b/>
          <w:bCs/>
          <w:color w:val="102B3F"/>
          <w:sz w:val="26"/>
          <w:szCs w:val="26"/>
        </w:rPr>
        <w:t xml:space="preserve">1. Assignment</w:t>
      </w:r>
    </w:p>
    <w:p>
      <w:pPr>
        <w:keepLines/>
        <w:spacing w:after="120" w:line="264"/>
        <w:jc w:val="both"/>
      </w:pPr>
      <w:r>
        <w:rPr>
          <w:rFonts w:ascii="Calibri" w:cs="Calibri" w:eastAsia="Calibri" w:hAnsi="Calibri"/>
          <w:sz w:val="22"/>
          <w:szCs w:val="22"/>
        </w:rPr>
        <w:t xml:space="preserve">The Assignor assigns, transfers, and conveys to the Assignee all of the Assignor's rights, title, and interest in the following rights under the Contract (the "Assigned Rights"): The right to be paid the unpaid price of goods delivered under Invoice Nos. 1042 to 1047, being the amount still owed by the Obligor under the Supply Agreement.</w:t>
      </w:r>
    </w:p>
    <w:p>
      <w:pPr>
        <w:keepLines/>
        <w:spacing w:after="120" w:line="264"/>
        <w:jc w:val="both"/>
      </w:pPr>
      <w:r>
        <w:rPr>
          <w:rFonts w:ascii="Calibri" w:cs="Calibri" w:eastAsia="Calibri" w:hAnsi="Calibri"/>
          <w:sz w:val="22"/>
          <w:szCs w:val="22"/>
        </w:rPr>
        <w:t xml:space="preserve">The Assigned Rights include the right to be paid the outstanding amount of Four Hundred Eighty Thousand Pesos (PHP 480,000.00), together with the interest and charges the Contract validly provides on it.</w:t>
      </w:r>
    </w:p>
    <w:p>
      <w:pPr>
        <w:keepLines/>
        <w:spacing w:after="120" w:line="264"/>
        <w:jc w:val="both"/>
      </w:pPr>
      <w:r>
        <w:rPr>
          <w:rFonts w:ascii="Calibri" w:cs="Calibri" w:eastAsia="Calibri" w:hAnsi="Calibri"/>
          <w:sz w:val="22"/>
          <w:szCs w:val="22"/>
        </w:rPr>
        <w:t xml:space="preserve">The assignment includes the accessory rights that go with the Assigned Rights, such as guaranties, mortgages, pledges, and priorities (Article 1627).</w:t>
      </w:r>
    </w:p>
    <w:p>
      <w:pPr>
        <w:pStyle w:val="Heading2"/>
        <w:keepNext/>
        <w:spacing w:after="120" w:before="240"/>
      </w:pPr>
      <w:r>
        <w:rPr>
          <w:rFonts w:ascii="Calibri" w:cs="Calibri" w:eastAsia="Calibri" w:hAnsi="Calibri"/>
          <w:b/>
          <w:bCs/>
          <w:color w:val="102B3F"/>
          <w:sz w:val="26"/>
          <w:szCs w:val="26"/>
        </w:rPr>
        <w:t xml:space="preserve">2. Duties</w:t>
      </w:r>
    </w:p>
    <w:p>
      <w:pPr>
        <w:keepLines/>
        <w:spacing w:after="120" w:line="264"/>
        <w:jc w:val="both"/>
      </w:pPr>
      <w:r>
        <w:rPr>
          <w:rFonts w:ascii="Calibri" w:cs="Calibri" w:eastAsia="Calibri" w:hAnsi="Calibri"/>
          <w:sz w:val="22"/>
          <w:szCs w:val="22"/>
        </w:rPr>
        <w:t xml:space="preserve">The Assignee does not assume any duty of the Assignor under the Contract. The Assignor remains bound to perform its own duties, and this Assignment does not change them.</w:t>
      </w:r>
    </w:p>
    <w:p>
      <w:pPr>
        <w:pStyle w:val="Heading2"/>
        <w:keepNext/>
        <w:spacing w:after="120" w:before="240"/>
      </w:pPr>
      <w:r>
        <w:rPr>
          <w:rFonts w:ascii="Calibri" w:cs="Calibri" w:eastAsia="Calibri" w:hAnsi="Calibri"/>
          <w:b/>
          <w:bCs/>
          <w:color w:val="102B3F"/>
          <w:sz w:val="26"/>
          <w:szCs w:val="26"/>
        </w:rPr>
        <w:t xml:space="preserve">3. Price</w:t>
      </w:r>
    </w:p>
    <w:p>
      <w:pPr>
        <w:keepLines/>
        <w:spacing w:after="120" w:line="264"/>
        <w:jc w:val="both"/>
      </w:pPr>
      <w:r>
        <w:rPr>
          <w:rFonts w:ascii="Calibri" w:cs="Calibri" w:eastAsia="Calibri" w:hAnsi="Calibri"/>
          <w:sz w:val="22"/>
          <w:szCs w:val="22"/>
        </w:rPr>
        <w:t xml:space="preserve">The Assignee shall pay the Assignor Four Hundred Fifty Thousand Pesos (PHP 450,000.00) for the Assigned Rights. Payment is made at the signing of this Assignment.</w:t>
      </w:r>
    </w:p>
    <w:p>
      <w:pPr>
        <w:pStyle w:val="Heading2"/>
        <w:keepNext/>
        <w:spacing w:after="120" w:before="240"/>
      </w:pPr>
      <w:r>
        <w:rPr>
          <w:rFonts w:ascii="Calibri" w:cs="Calibri" w:eastAsia="Calibri" w:hAnsi="Calibri"/>
          <w:b/>
          <w:bCs/>
          <w:color w:val="102B3F"/>
          <w:sz w:val="26"/>
          <w:szCs w:val="26"/>
        </w:rPr>
        <w:t xml:space="preserve">4. Warranties and recourse</w:t>
      </w:r>
    </w:p>
    <w:p>
      <w:pPr>
        <w:keepLines/>
        <w:spacing w:after="120" w:line="264"/>
        <w:jc w:val="both"/>
      </w:pPr>
      <w:r>
        <w:rPr>
          <w:rFonts w:ascii="Calibri" w:cs="Calibri" w:eastAsia="Calibri" w:hAnsi="Calibri"/>
          <w:sz w:val="22"/>
          <w:szCs w:val="22"/>
        </w:rPr>
        <w:t xml:space="preserve">The Assignor states that it owns the Assigned Rights, has not assigned, pledged, or encumbered them to anyone else, and knows of no defense, set-off, or counterclaim that the Obligor could raise against them.</w:t>
      </w:r>
    </w:p>
    <w:p>
      <w:pPr>
        <w:keepLines/>
        <w:spacing w:after="120" w:line="264"/>
        <w:jc w:val="both"/>
      </w:pPr>
      <w:r>
        <w:rPr>
          <w:rFonts w:ascii="Calibri" w:cs="Calibri" w:eastAsia="Calibri" w:hAnsi="Calibri"/>
          <w:sz w:val="22"/>
          <w:szCs w:val="22"/>
        </w:rPr>
        <w:t xml:space="preserve">The Assignor answers for the existence and legality of the Assigned Rights at the time of this Assignment (Article 1628).</w:t>
      </w:r>
    </w:p>
    <w:p>
      <w:pPr>
        <w:keepLines/>
        <w:spacing w:after="120" w:line="264"/>
        <w:jc w:val="both"/>
      </w:pPr>
      <w:r>
        <w:rPr>
          <w:rFonts w:ascii="Calibri" w:cs="Calibri" w:eastAsia="Calibri" w:hAnsi="Calibri"/>
          <w:sz w:val="22"/>
          <w:szCs w:val="22"/>
        </w:rPr>
        <w:t xml:space="preserve">Subject to Article 1628, the Assignor does not guarantee that the Obligor will pay or is able to pay. The Assignor nevertheless answers for the Obligor's solvency if the insolvency existed before this Assignment and was of common knowledge; in that case its liability is limited to the price received and the expenses allowed by law, unless the Assignor acted in bad faith, in which case it answers for all expenses and damages.</w:t>
      </w:r>
    </w:p>
    <w:p>
      <w:pPr>
        <w:keepLines/>
        <w:spacing w:after="120" w:line="264"/>
        <w:jc w:val="both"/>
      </w:pPr>
      <w:r>
        <w:rPr>
          <w:rFonts w:ascii="Calibri" w:cs="Calibri" w:eastAsia="Calibri" w:hAnsi="Calibri"/>
          <w:sz w:val="22"/>
          <w:szCs w:val="22"/>
        </w:rPr>
        <w:t xml:space="preserve">The Assignor states that the Contract does not restrict this assignment.</w:t>
      </w:r>
    </w:p>
    <w:p>
      <w:pPr>
        <w:pStyle w:val="Heading2"/>
        <w:keepNext/>
        <w:spacing w:after="120" w:before="240"/>
      </w:pPr>
      <w:r>
        <w:rPr>
          <w:rFonts w:ascii="Calibri" w:cs="Calibri" w:eastAsia="Calibri" w:hAnsi="Calibri"/>
          <w:b/>
          <w:bCs/>
          <w:color w:val="102B3F"/>
          <w:sz w:val="26"/>
          <w:szCs w:val="26"/>
        </w:rPr>
        <w:t xml:space="preserve">5. Notice, collections, and records</w:t>
      </w:r>
    </w:p>
    <w:p>
      <w:pPr>
        <w:keepLines/>
        <w:spacing w:after="120" w:line="264"/>
        <w:jc w:val="both"/>
      </w:pPr>
      <w:r>
        <w:rPr>
          <w:rFonts w:ascii="Calibri" w:cs="Calibri" w:eastAsia="Calibri" w:hAnsi="Calibri"/>
          <w:sz w:val="22"/>
          <w:szCs w:val="22"/>
        </w:rPr>
        <w:t xml:space="preserve">Sampaguita Trading Corporation shall give the Obligor written notice of this Assignment, substantially in the form of Annex A, within 5 days after signing. Until the Obligor has knowledge of the assignment, a payment to the Assignor releases the Obligor (Article 1626). The Assignee may ask the Obligor to sign the confirmation in Annex B.</w:t>
      </w:r>
    </w:p>
    <w:p>
      <w:pPr>
        <w:keepLines/>
        <w:spacing w:after="120" w:line="264"/>
        <w:jc w:val="both"/>
      </w:pPr>
      <w:r>
        <w:rPr>
          <w:rFonts w:ascii="Calibri" w:cs="Calibri" w:eastAsia="Calibri" w:hAnsi="Calibri"/>
          <w:sz w:val="22"/>
          <w:szCs w:val="22"/>
        </w:rPr>
        <w:t xml:space="preserve">If the Assignor receives any payment on the Assigned Rights after the date of this Assignment, it shall hold the payment in trust for the Assignee and turn it over within 5 days.</w:t>
      </w:r>
    </w:p>
    <w:p>
      <w:pPr>
        <w:keepLines/>
        <w:spacing w:after="120" w:line="264"/>
        <w:jc w:val="both"/>
      </w:pPr>
      <w:r>
        <w:rPr>
          <w:rFonts w:ascii="Calibri" w:cs="Calibri" w:eastAsia="Calibri" w:hAnsi="Calibri"/>
          <w:sz w:val="22"/>
          <w:szCs w:val="22"/>
        </w:rPr>
        <w:t xml:space="preserve">The Assignor shall give the Assignee copies of the Contract and the records that support the Assigned Rights and shall sign any further document needed to carry out this Assignment.</w:t>
      </w:r>
    </w:p>
    <w:p>
      <w:pPr>
        <w:pStyle w:val="Heading2"/>
        <w:keepNext/>
        <w:spacing w:after="120" w:before="240"/>
      </w:pPr>
      <w:r>
        <w:rPr>
          <w:rFonts w:ascii="Calibri" w:cs="Calibri" w:eastAsia="Calibri" w:hAnsi="Calibri"/>
          <w:b/>
          <w:bCs/>
          <w:color w:val="102B3F"/>
          <w:sz w:val="26"/>
          <w:szCs w:val="26"/>
        </w:rPr>
        <w:t xml:space="preserve">6. General terms</w:t>
      </w:r>
    </w:p>
    <w:p>
      <w:pPr>
        <w:keepLines/>
        <w:spacing w:after="120" w:line="264"/>
        <w:jc w:val="both"/>
      </w:pPr>
      <w:r>
        <w:rPr>
          <w:rFonts w:ascii="Calibri" w:cs="Calibri" w:eastAsia="Calibri" w:hAnsi="Calibri"/>
          <w:sz w:val="22"/>
          <w:szCs w:val="22"/>
        </w:rPr>
        <w:t xml:space="preserve">Each party bears its own taxes. The Assignee bears the cost of notarization and any recording unless the parties agree otherwise in writing.</w:t>
      </w:r>
    </w:p>
    <w:p>
      <w:pPr>
        <w:keepLines/>
        <w:spacing w:after="120" w:line="264"/>
        <w:jc w:val="both"/>
      </w:pPr>
      <w:r>
        <w:rPr>
          <w:rFonts w:ascii="Calibri" w:cs="Calibri" w:eastAsia="Calibri" w:hAnsi="Calibri"/>
          <w:sz w:val="22"/>
          <w:szCs w:val="22"/>
        </w:rPr>
        <w:t xml:space="preserve">This Assignment is the whole agreement on the Assigned Rights. If any provision is held invalid, the rest remains in force. Philippine law governs. Any action arising from or relating to this Assignment shall be filed exclusively in the proper courts of Makati City, to the exclusion of all other courts, without prejudice to barangay conciliation where the law requires it.</w:t>
      </w:r>
    </w:p>
    <w:p>
      <w:pPr>
        <w:keepNext/>
        <w:spacing w:after="260" w:before="360"/>
      </w:pPr>
      <w:r>
        <w:rPr>
          <w:rFonts w:ascii="Calibri" w:cs="Calibri" w:eastAsia="Calibri" w:hAnsi="Calibri"/>
          <w:b/>
          <w:bCs/>
          <w:sz w:val="22"/>
          <w:szCs w:val="22"/>
        </w:rPr>
        <w:t xml:space="preserve">IN WITNESS WHEREOF, the parties have signed this Assignment on September 16, 2026 at Makati City, Philippines.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ASSIGNOR</w:t>
            </w:r>
          </w:p>
          <w:p>
            <w:pPr>
              <w:spacing w:after="120"/>
            </w:pPr>
            <w:r>
              <w:rPr>
                <w:rFonts w:ascii="Calibri" w:cs="Calibri" w:eastAsia="Calibri" w:hAnsi="Calibri"/>
                <w:sz w:val="22"/>
                <w:szCs w:val="22"/>
              </w:rPr>
              <w:t xml:space="preserve">Sampaguita Trading Corporation
By: Ramon L. Uy, President
Signature over printed name: ______________________________</w:t>
            </w:r>
          </w:p>
          <w:p>
            <w:pPr>
              <w:spacing w:after="120"/>
            </w:pPr>
            <w:r>
              <w:rPr>
                <w:rFonts w:ascii="Calibri" w:cs="Calibri" w:eastAsia="Calibri" w:hAnsi="Calibri"/>
                <w:sz w:val="22"/>
                <w:szCs w:val="22"/>
              </w:rPr>
              <w:t xml:space="preserve">Assignor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ASSIGNEE</w:t>
            </w:r>
          </w:p>
          <w:p>
            <w:pPr>
              <w:spacing w:after="120"/>
            </w:pPr>
            <w:r>
              <w:rPr>
                <w:rFonts w:ascii="Calibri" w:cs="Calibri" w:eastAsia="Calibri" w:hAnsi="Calibri"/>
                <w:sz w:val="22"/>
                <w:szCs w:val="22"/>
              </w:rPr>
              <w:t xml:space="preserve">Bayanihan Receivables Inc.
By: Andrea M. Reyes, Treasurer
Signature over printed name: ______________________________</w:t>
            </w:r>
          </w:p>
          <w:p>
            <w:pPr>
              <w:spacing w:after="120"/>
            </w:pPr>
            <w:r>
              <w:rPr>
                <w:rFonts w:ascii="Calibri" w:cs="Calibri" w:eastAsia="Calibri" w:hAnsi="Calibri"/>
                <w:sz w:val="22"/>
                <w:szCs w:val="22"/>
              </w:rPr>
              <w:t xml:space="preserve">Assignee</w:t>
            </w:r>
          </w:p>
          <w:p>
            <w:r>
              <w:rPr>
                <w:rFonts w:ascii="Calibri" w:cs="Calibri" w:eastAsia="Calibri" w:hAnsi="Calibri"/>
                <w:sz w:val="22"/>
                <w:szCs w:val="22"/>
              </w:rPr>
              <w:t xml:space="preserve">Date: ______________________________</w:t>
            </w:r>
          </w:p>
        </w:tc>
      </w:tr>
    </w:tbl>
    <w:p>
      <w:pPr>
        <w:pStyle w:val="Heading2"/>
        <w:keepNext/>
        <w:spacing w:after="120" w:before="240"/>
      </w:pPr>
      <w:r>
        <w:rPr>
          <w:rFonts w:ascii="Calibri" w:cs="Calibri" w:eastAsia="Calibri" w:hAnsi="Calibri"/>
          <w:b/>
          <w:bCs/>
          <w:color w:val="102B3F"/>
          <w:sz w:val="26"/>
          <w:szCs w:val="26"/>
        </w:rPr>
        <w:t xml:space="preserve">ACKNOWLEDGMENT — FOR THE NOTARIAL OFFICER TO COMPLETE</w:t>
      </w:r>
    </w:p>
    <w:p>
      <w:pPr>
        <w:keepLines/>
        <w:spacing w:after="120" w:line="264"/>
        <w:jc w:val="both"/>
      </w:pPr>
      <w:r>
        <w:rPr>
          <w:rFonts w:ascii="Calibri" w:cs="Calibri" w:eastAsia="Calibri" w:hAnsi="Calibri"/>
          <w:sz w:val="22"/>
          <w:szCs w:val="22"/>
        </w:rPr>
        <w:t xml:space="preserve">BEFORE ME, a Notary Public for and in Makati City, Philippines, on __________________, personally appeared Ramon L. Uy, President, for and on behalf of Sampaguita Trading Corporation and Andrea M. Reyes, Treasurer, for and on behalf of Bayanihan Receivables Inc., identified through competent evidence of identity, ID No(s). __________________ / issued at and on __________________ / valid until __________________, known to me and to me known to be the same person(s) who executed this Assignment, consisting of ____ (__) pages, including the page on which this acknowledgment is written, and acknowledged that it is their free and voluntary act and deed, and, for each person signing in a representative capacity, that he or she has the authority to sign in that capacity and that the instrument is the free and voluntary act and deed of the entity represented.</w:t>
      </w:r>
    </w:p>
    <w:p>
      <w:pPr>
        <w:keepLines/>
        <w:spacing w:after="120" w:line="264"/>
        <w:jc w:val="both"/>
      </w:pPr>
      <w:r>
        <w:rPr>
          <w:rFonts w:ascii="Calibri" w:cs="Calibri" w:eastAsia="Calibri" w:hAnsi="Calibri"/>
          <w:sz w:val="22"/>
          <w:szCs w:val="22"/>
        </w:rPr>
        <w:t xml:space="preserve">NOTARY PUBLIC
Notarial Commission No.: ______________ valid until ______________
Roll of Attorneys No.: ______________
PTR No.: ______________ / date and place: ______________
IBP No.: ______________ / date and chapter: ______________
Office address: ______________
Doc. No. ______; Page No. ______; Book No. ______; Series of ______.</w:t>
      </w:r>
    </w:p>
    <w:p>
      <w:pPr>
        <w:pStyle w:val="Heading2"/>
        <w:keepNext/>
        <w:spacing w:after="120" w:before="240"/>
      </w:pPr>
      <w:r>
        <w:rPr>
          <w:rFonts w:ascii="Calibri" w:cs="Calibri" w:eastAsia="Calibri" w:hAnsi="Calibri"/>
          <w:b/>
          <w:bCs/>
          <w:color w:val="102B3F"/>
          <w:sz w:val="26"/>
          <w:szCs w:val="26"/>
        </w:rPr>
        <w:t xml:space="preserve">ANNEX A — NOTICE OF ASSIGNMENT</w:t>
      </w:r>
    </w:p>
    <w:p>
      <w:pPr>
        <w:keepLines/>
        <w:spacing w:after="120" w:line="264"/>
        <w:jc w:val="both"/>
      </w:pPr>
      <w:r>
        <w:rPr>
          <w:rFonts w:ascii="Calibri" w:cs="Calibri" w:eastAsia="Calibri" w:hAnsi="Calibri"/>
          <w:sz w:val="22"/>
          <w:szCs w:val="22"/>
        </w:rPr>
        <w:t xml:space="preserve">Date: ______________</w:t>
      </w:r>
    </w:p>
    <w:p>
      <w:pPr>
        <w:keepLines/>
        <w:spacing w:after="120" w:line="264"/>
        <w:jc w:val="both"/>
      </w:pPr>
      <w:r>
        <w:rPr>
          <w:rFonts w:ascii="Calibri" w:cs="Calibri" w:eastAsia="Calibri" w:hAnsi="Calibri"/>
          <w:sz w:val="22"/>
          <w:szCs w:val="22"/>
        </w:rPr>
        <w:t xml:space="preserve">To: Mabuhay Retail Holdings, Inc.
3 Ortigas Center, Pasig City 1605</w:t>
      </w:r>
    </w:p>
    <w:p>
      <w:pPr>
        <w:keepLines/>
        <w:spacing w:after="120" w:line="264"/>
        <w:jc w:val="both"/>
      </w:pPr>
      <w:r>
        <w:rPr>
          <w:rFonts w:ascii="Calibri" w:cs="Calibri" w:eastAsia="Calibri" w:hAnsi="Calibri"/>
          <w:sz w:val="22"/>
          <w:szCs w:val="22"/>
        </w:rPr>
        <w:t xml:space="preserve">Re: Supply Agreement No. SUP-2026-014 dated May 4, 2026</w:t>
      </w:r>
    </w:p>
    <w:p>
      <w:pPr>
        <w:keepLines/>
        <w:spacing w:after="120" w:line="264"/>
        <w:jc w:val="both"/>
      </w:pPr>
      <w:r>
        <w:rPr>
          <w:rFonts w:ascii="Calibri" w:cs="Calibri" w:eastAsia="Calibri" w:hAnsi="Calibri"/>
          <w:sz w:val="22"/>
          <w:szCs w:val="22"/>
        </w:rPr>
        <w:t xml:space="preserve">Please be notified that, by an Assignment of Contractual Rights dated September 16, 2026, Sampaguita Trading Corporation assigned to Bayanihan Receivables Inc. the following rights under the contract referred to above: The right to be paid the unpaid price of goods delivered under Invoice Nos. 1042 to 1047, being the amount still owed by the Obligor under the Supply Agreement. The assigned rights include the right to be paid Four Hundred Eighty Thousand Pesos (PHP 480,000.00).</w:t>
      </w:r>
    </w:p>
    <w:p>
      <w:pPr>
        <w:keepLines/>
        <w:spacing w:after="120" w:line="264"/>
        <w:jc w:val="both"/>
      </w:pPr>
      <w:r>
        <w:rPr>
          <w:rFonts w:ascii="Calibri" w:cs="Calibri" w:eastAsia="Calibri" w:hAnsi="Calibri"/>
          <w:sz w:val="22"/>
          <w:szCs w:val="22"/>
        </w:rPr>
        <w:t xml:space="preserve">From your receipt of this notice, please make every payment and render every performance due on the assigned rights only to the Assignee, as follows: ______________________________ (account name, bank, and account number, or other instructions, supplied by the Assignee). Under Article 1626 of the Civil Code, only a payment made before you learned of the assignment releases you; after receiving this notice, pay only the Assignee.</w:t>
      </w:r>
    </w:p>
    <w:p>
      <w:pPr>
        <w:keepLines/>
        <w:spacing w:after="120" w:line="264"/>
        <w:jc w:val="both"/>
      </w:pPr>
      <w:r>
        <w:rPr>
          <w:rFonts w:ascii="Calibri" w:cs="Calibri" w:eastAsia="Calibri" w:hAnsi="Calibri"/>
          <w:sz w:val="22"/>
          <w:szCs w:val="22"/>
        </w:rPr>
        <w:t xml:space="preserve">Before paying, please confirm these payment instructions directly with the Assignee through a telephone number or address you already know.</w:t>
      </w:r>
    </w:p>
    <w:p>
      <w:pPr>
        <w:keepLines/>
        <w:spacing w:after="120" w:line="264"/>
        <w:jc w:val="both"/>
      </w:pPr>
      <w:r>
        <w:rPr>
          <w:rFonts w:ascii="Calibri" w:cs="Calibri" w:eastAsia="Calibri" w:hAnsi="Calibri"/>
          <w:sz w:val="22"/>
          <w:szCs w:val="22"/>
        </w:rPr>
        <w:t xml:space="preserve">______________________________
Sampaguita Trading Corporation
By: ______________________________ (signature over printed name and position)</w:t>
      </w:r>
    </w:p>
    <w:p>
      <w:pPr>
        <w:keepLines/>
        <w:spacing w:after="120" w:line="264"/>
        <w:jc w:val="both"/>
      </w:pPr>
      <w:r>
        <w:rPr>
          <w:rFonts w:ascii="Calibri" w:cs="Calibri" w:eastAsia="Calibri" w:hAnsi="Calibri"/>
          <w:sz w:val="22"/>
          <w:szCs w:val="22"/>
        </w:rPr>
        <w:t xml:space="preserve">RECEIVED by Mabuhay Retail Holdings, Inc. on ______________ by ______________________________ (signature over printed name and position).</w:t>
      </w:r>
    </w:p>
    <w:p>
      <w:pPr>
        <w:pStyle w:val="Heading2"/>
        <w:keepNext/>
        <w:spacing w:after="120" w:before="240"/>
      </w:pPr>
      <w:r>
        <w:rPr>
          <w:rFonts w:ascii="Calibri" w:cs="Calibri" w:eastAsia="Calibri" w:hAnsi="Calibri"/>
          <w:b/>
          <w:bCs/>
          <w:color w:val="102B3F"/>
          <w:sz w:val="26"/>
          <w:szCs w:val="26"/>
        </w:rPr>
        <w:t xml:space="preserve">ANNEX B — OBLIGOR'S CONFIRMATION AND CONSENT</w:t>
      </w:r>
    </w:p>
    <w:p>
      <w:pPr>
        <w:keepLines/>
        <w:spacing w:after="120" w:line="264"/>
        <w:jc w:val="both"/>
      </w:pPr>
      <w:r>
        <w:rPr>
          <w:rFonts w:ascii="Calibri" w:cs="Calibri" w:eastAsia="Calibri" w:hAnsi="Calibri"/>
          <w:sz w:val="22"/>
          <w:szCs w:val="22"/>
        </w:rPr>
        <w:t xml:space="preserve">Mabuhay Retail Holdings, Inc. confirms that it received the Notice of Assignment dated ______________ and that: (a) from its receipt of the notice, it will pay or perform the assigned rights only to Bayanihan Receivables Inc.; (b) the outstanding amount of the assigned rights as of ______________ is PHP ______________; and (c) it has no defense, set-off, or compensation against Sampaguita Trading Corporation or Bayanihan Receivables Inc. with respect to the assigned rights except: ______________________________ (write "none" if none).</w:t>
      </w:r>
    </w:p>
    <w:p>
      <w:pPr>
        <w:keepLines/>
        <w:spacing w:after="120" w:line="264"/>
        <w:jc w:val="both"/>
      </w:pPr>
      <w:r>
        <w:rPr>
          <w:rFonts w:ascii="Calibri" w:cs="Calibri" w:eastAsia="Calibri" w:hAnsi="Calibri"/>
          <w:sz w:val="22"/>
          <w:szCs w:val="22"/>
        </w:rPr>
        <w:t xml:space="preserve">The Obligor understands that, under Article 1285 of the Civil Code, a debtor who consents to an assignment cannot set up against the Assignee the compensation it had against the Assignor unless it reserved that right when it consented. Any compensation the Obligor reserves must be stated in item (c).</w:t>
      </w:r>
    </w:p>
    <w:p>
      <w:pPr>
        <w:keepLines/>
        <w:spacing w:after="120" w:line="264"/>
        <w:jc w:val="both"/>
      </w:pPr>
      <w:r>
        <w:rPr>
          <w:rFonts w:ascii="Calibri" w:cs="Calibri" w:eastAsia="Calibri" w:hAnsi="Calibri"/>
          <w:sz w:val="22"/>
          <w:szCs w:val="22"/>
        </w:rPr>
        <w:t xml:space="preserve">______________________________
Mabuhay Retail Holdings, Inc.
By: ______________________________ (signature over printed name and position)
Date: ______________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Read the original contract for limits on assignment, such as a consent requirement, a notice period, or a right of first refusal, and obtain any required consent in writing before signing.</w:t>
      </w:r>
    </w:p>
    <w:p>
      <w:pPr>
        <w:pStyle w:val="ListParagraph"/>
        <w:keepNext/>
        <w:numPr>
          <w:ilvl w:val="0"/>
          <w:numId w:val="1"/>
        </w:numPr>
        <w:spacing w:after="120" w:line="264"/>
      </w:pPr>
      <w:r>
        <w:rPr>
          <w:rFonts w:ascii="Calibri" w:cs="Calibri" w:eastAsia="Calibri" w:hAnsi="Calibri"/>
          <w:sz w:val="22"/>
          <w:szCs w:val="22"/>
        </w:rPr>
        <w:t xml:space="preserve">Send the Obligor the Notice of Assignment in Annex A promptly and keep proof of delivery. Until the Obligor knows of the assignment, it is released by paying the Assignor (Article 1626).</w:t>
      </w:r>
    </w:p>
    <w:p>
      <w:pPr>
        <w:pStyle w:val="ListParagraph"/>
        <w:keepNext/>
        <w:numPr>
          <w:ilvl w:val="0"/>
          <w:numId w:val="1"/>
        </w:numPr>
        <w:spacing w:after="120" w:line="264"/>
      </w:pPr>
      <w:r>
        <w:rPr>
          <w:rFonts w:ascii="Calibri" w:cs="Calibri" w:eastAsia="Calibri" w:hAnsi="Calibri"/>
          <w:sz w:val="22"/>
          <w:szCs w:val="22"/>
        </w:rPr>
        <w:t xml:space="preserve">Ask the Obligor to sign Annex B. Once the Obligor consents without reserving set-off, it cannot later set up against the Assignee the compensation it had against the Assignor (Article 1285).</w:t>
      </w:r>
    </w:p>
    <w:p>
      <w:pPr>
        <w:pStyle w:val="ListParagraph"/>
        <w:keepNext/>
        <w:numPr>
          <w:ilvl w:val="0"/>
          <w:numId w:val="1"/>
        </w:numPr>
        <w:spacing w:after="120" w:line="264"/>
      </w:pPr>
      <w:r>
        <w:rPr>
          <w:rFonts w:ascii="Calibri" w:cs="Calibri" w:eastAsia="Calibri" w:hAnsi="Calibri"/>
          <w:sz w:val="22"/>
          <w:szCs w:val="22"/>
        </w:rPr>
        <w:t xml:space="preserve">This document assigns rights. Duties, or the whole contract, can be transferred only with the other party's consent (Article 1293), which is why an assumption of duties needs the Obligor's signed consent.</w:t>
      </w:r>
    </w:p>
    <w:p>
      <w:pPr>
        <w:pStyle w:val="ListParagraph"/>
        <w:keepNext/>
        <w:numPr>
          <w:ilvl w:val="0"/>
          <w:numId w:val="1"/>
        </w:numPr>
        <w:spacing w:after="120" w:line="264"/>
      </w:pPr>
      <w:r>
        <w:rPr>
          <w:rFonts w:ascii="Calibri" w:cs="Calibri" w:eastAsia="Calibri" w:hAnsi="Calibri"/>
          <w:sz w:val="22"/>
          <w:szCs w:val="22"/>
        </w:rPr>
        <w:t xml:space="preserve">For the assignment to bind third persons it should appear in a public instrument (Article 1625). Have it notarized. If the original contract is notarized, the assignment must be notarized too (Article 1358). If the assigned right involves land, record the assignment in the Registry of Property.</w:t>
      </w:r>
    </w:p>
    <w:p>
      <w:pPr>
        <w:pStyle w:val="ListParagraph"/>
        <w:keepNext/>
        <w:numPr>
          <w:ilvl w:val="0"/>
          <w:numId w:val="1"/>
        </w:numPr>
        <w:spacing w:after="120" w:line="264"/>
      </w:pPr>
      <w:r>
        <w:rPr>
          <w:rFonts w:ascii="Calibri" w:cs="Calibri" w:eastAsia="Calibri" w:hAnsi="Calibri"/>
          <w:sz w:val="22"/>
          <w:szCs w:val="22"/>
        </w:rPr>
        <w:t xml:space="preserve">Bring the board resolution or secretary's certificate that authorizes each entity's signatory; the notary must record that the signatory has authority to sign in that capacity.</w:t>
      </w:r>
    </w:p>
    <w:p>
      <w:pPr>
        <w:pStyle w:val="ListParagraph"/>
        <w:keepNext/>
        <w:numPr>
          <w:ilvl w:val="0"/>
          <w:numId w:val="1"/>
        </w:numPr>
        <w:spacing w:after="120" w:line="264"/>
      </w:pPr>
      <w:r>
        <w:rPr>
          <w:rFonts w:ascii="Calibri" w:cs="Calibri" w:eastAsia="Calibri" w:hAnsi="Calibri"/>
          <w:sz w:val="22"/>
          <w:szCs w:val="22"/>
        </w:rPr>
        <w:t xml:space="preserve">The Assignor warrants existence and legality, not solvency, unless recourse is stated or the insolvency was prior and of common knowledge (Article 1628). If recourse is agreed and no period is fixed, it lasts one year (Article 1629).</w:t>
      </w:r>
    </w:p>
    <w:p>
      <w:pPr>
        <w:pStyle w:val="ListParagraph"/>
        <w:keepNext/>
        <w:numPr>
          <w:ilvl w:val="0"/>
          <w:numId w:val="1"/>
        </w:numPr>
        <w:spacing w:after="120" w:line="264"/>
      </w:pPr>
      <w:r>
        <w:rPr>
          <w:rFonts w:ascii="Calibri" w:cs="Calibri" w:eastAsia="Calibri" w:hAnsi="Calibri"/>
          <w:sz w:val="22"/>
          <w:szCs w:val="22"/>
        </w:rPr>
        <w:t xml:space="preserve">If the right is being litigated, the Obligor can extinguish it by reimbursing the Assignee within thirty days of the Assignee's demand (Article 1634), unless an exception in Article 1635 applies. Disclose the case and consider whether the price reflects that risk.</w:t>
      </w:r>
    </w:p>
    <w:p>
      <w:pPr>
        <w:pStyle w:val="ListParagraph"/>
        <w:keepNext/>
        <w:numPr>
          <w:ilvl w:val="0"/>
          <w:numId w:val="1"/>
        </w:numPr>
        <w:spacing w:after="120" w:line="264"/>
      </w:pPr>
      <w:r>
        <w:rPr>
          <w:rFonts w:ascii="Calibri" w:cs="Calibri" w:eastAsia="Calibri" w:hAnsi="Calibri"/>
          <w:sz w:val="22"/>
          <w:szCs w:val="22"/>
        </w:rPr>
        <w:t xml:space="preserve">If the Assignee buys receivables as a business, confirm it holds SEC authority as a financing company (Republic Act No. 8556).</w:t>
      </w:r>
    </w:p>
    <w:p>
      <w:pPr>
        <w:pStyle w:val="ListParagraph"/>
        <w:keepNext/>
        <w:numPr>
          <w:ilvl w:val="0"/>
          <w:numId w:val="1"/>
        </w:numPr>
        <w:spacing w:after="120" w:line="264"/>
      </w:pPr>
      <w:r>
        <w:rPr>
          <w:rFonts w:ascii="Calibri" w:cs="Calibri" w:eastAsia="Calibri" w:hAnsi="Calibri"/>
          <w:sz w:val="22"/>
          <w:szCs w:val="22"/>
        </w:rPr>
        <w:t xml:space="preserve">Check the tax treatment of the transfer, including income tax, value-added tax, withholding, and documentary stamp tax, with a tax adviser or the BIR.</w:t>
      </w:r>
    </w:p>
    <w:p>
      <w:pPr>
        <w:pStyle w:val="ListParagraph"/>
        <w:keepNext/>
        <w:numPr>
          <w:ilvl w:val="0"/>
          <w:numId w:val="1"/>
        </w:numPr>
        <w:spacing w:after="120" w:line="264"/>
      </w:pPr>
      <w:r>
        <w:rPr>
          <w:rFonts w:ascii="Calibri" w:cs="Calibri" w:eastAsia="Calibri" w:hAnsi="Calibri"/>
          <w:sz w:val="22"/>
          <w:szCs w:val="22"/>
        </w:rPr>
        <w:t xml:space="preserve">An assigned receivable can carry personal data of customers. Pass on only what is necessary and follow the Data Privacy Act, including notice and a legitimate purpose.</w:t>
      </w:r>
    </w:p>
    <w:p>
      <w:pPr>
        <w:pStyle w:val="ListParagraph"/>
        <w:keepNext/>
        <w:numPr>
          <w:ilvl w:val="0"/>
          <w:numId w:val="1"/>
        </w:numPr>
        <w:spacing w:after="120" w:line="264"/>
      </w:pPr>
      <w:r>
        <w:rPr>
          <w:rFonts w:ascii="Calibri" w:cs="Calibri" w:eastAsia="Calibri" w:hAnsi="Calibri"/>
          <w:sz w:val="22"/>
          <w:szCs w:val="22"/>
        </w:rPr>
        <w:t xml:space="preserve">Bank deposits, insurance policies, government contracts, licenses, and other regulated rights may not be assignable, or need approval. Check the sector rules first.</w:t>
      </w:r>
    </w:p>
    <w:p>
      <w:pPr>
        <w:pStyle w:val="ListParagraph"/>
        <w:keepNext w:val="false"/>
        <w:numPr>
          <w:ilvl w:val="0"/>
          <w:numId w:val="1"/>
        </w:numPr>
        <w:spacing w:after="120" w:line="264"/>
      </w:pPr>
      <w:r>
        <w:rPr>
          <w:rFonts w:ascii="Calibri" w:cs="Calibri" w:eastAsia="Calibri" w:hAnsi="Calibri"/>
          <w:sz w:val="22"/>
          <w:szCs w:val="22"/>
        </w:rPr>
        <w:t xml:space="preserve">Keep the full chain of documents: the original contract, amendments, statements of account, this Assignment, the notice to the Obligor, and proof of delivery.</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2026-09-21 onward, subject to the recorded review cycle | Independent Philippine contract-lawyer review pending | Last legal check 2026-10-01 | Next review due 2026-10-21</w:t>
      </w:r>
    </w:p>
    <w:p>
      <w:pPr>
        <w:keepNext/>
        <w:spacing w:after="60" w:before="100"/>
      </w:pPr>
      <w:r>
        <w:rPr>
          <w:rFonts w:ascii="Calibri" w:cs="Calibri" w:eastAsia="Calibri" w:hAnsi="Calibri"/>
          <w:b/>
          <w:bCs/>
          <w:sz w:val="18"/>
          <w:szCs w:val="18"/>
        </w:rPr>
        <w:t xml:space="preserve">Civil Code of the Philippines (Republic Act No. 386) - Arts. 1624–1635 (assignment of credits and other incorporeal rights): Art. 1625 (public instrument for effect on third persons), Art. 1626 (payment before knowledge of the assignment), Arts. 1627–1629 (accessories, warranty, solvency, recourse period), Arts. 1634–1635 (litigious credits and exceptions); Art. 1285 (compensation after the debtor's consent or notice); Art. 1358(4) (cession of rights arising from a public document must be in a public document); Arts. 1291–1293 (substitution of the obligor requires consent) (checked 2026-10-01)</w:t>
      </w:r>
    </w:p>
    <w:p>
      <w:pPr>
        <w:spacing w:after="120"/>
      </w:pPr>
      <w:hyperlink w:history="1" r:id="rIdwnhcomko_kl09phrhbld3">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2004 Rules on Notarial Practice, A.M. No. 02-8-13-SC, as amended by the Supreme Court Resolution of March 4, 2025 - Rule II, Sec. 1 (acknowledgment, including the representative's authority to sign in that capacity); Rule VIII, Sec. 2 (contents of the notarial certificate); personal appearance and competent evidence of identity (checked 2026-10-01)</w:t>
      </w:r>
    </w:p>
    <w:p>
      <w:pPr>
        <w:spacing w:after="120"/>
      </w:pPr>
      <w:hyperlink w:history="1" r:id="rIdr_gqfs-efwdqanhojnqc2">
        <w:r>
          <w:rPr>
            <w:rFonts w:ascii="Calibri" w:cs="Calibri" w:eastAsia="Calibri" w:hAnsi="Calibri"/>
            <w:color w:val="315B75"/>
            <w:sz w:val="17"/>
            <w:szCs w:val="17"/>
            <w:u w:val="single"/>
          </w:rPr>
          <w:t xml:space="preserve">https://sc.judiciary.gov.ph/wp-content/uploads/2025/06/Amended-2004-Notarial-Rules.pdf</w:t>
        </w:r>
      </w:hyperlink>
    </w:p>
    <w:p>
      <w:pPr>
        <w:keepNext/>
        <w:spacing w:after="60" w:before="100"/>
      </w:pPr>
      <w:r>
        <w:rPr>
          <w:rFonts w:ascii="Calibri" w:cs="Calibri" w:eastAsia="Calibri" w:hAnsi="Calibri"/>
          <w:b/>
          <w:bCs/>
          <w:sz w:val="18"/>
          <w:szCs w:val="18"/>
        </w:rPr>
        <w:t xml:space="preserve">Rules on Electronic Notarization (A.M. No. 24-10-14-SC) - Electronic notarization before an SC-commissioned electronic notary public, available only once electronic notarization launches (announced for 19 October 2026) (checked 2026-10-01)</w:t>
      </w:r>
    </w:p>
    <w:p>
      <w:pPr>
        <w:spacing w:after="120"/>
      </w:pPr>
      <w:hyperlink w:history="1" r:id="rId_-9z6zwtyk9oh0orb1w9e">
        <w:r>
          <w:rPr>
            <w:rFonts w:ascii="Calibri" w:cs="Calibri" w:eastAsia="Calibri" w:hAnsi="Calibri"/>
            <w:color w:val="315B75"/>
            <w:sz w:val="17"/>
            <w:szCs w:val="17"/>
            <w:u w:val="single"/>
          </w:rPr>
          <w:t xml:space="preserve">https://sc.judiciary.gov.ph/24-10-14-sc-rules-on-electronic-notarization/</w:t>
        </w:r>
      </w:hyperlink>
    </w:p>
    <w:p>
      <w:pPr>
        <w:keepNext/>
        <w:spacing w:after="60" w:before="100"/>
      </w:pPr>
      <w:r>
        <w:rPr>
          <w:rFonts w:ascii="Calibri" w:cs="Calibri" w:eastAsia="Calibri" w:hAnsi="Calibri"/>
          <w:b/>
          <w:bCs/>
          <w:sz w:val="18"/>
          <w:szCs w:val="18"/>
        </w:rPr>
        <w:t xml:space="preserve">HCCH Apostille Convention — status table (Philippines: accession 12 September 2018; entry into force 14 May 2019) - The Philippines is a party to the Apostille Convention, so a public document notarized in another contracting state is authenticated by apostille rather than consular legalization (checked 2026-10-01)</w:t>
      </w:r>
    </w:p>
    <w:p>
      <w:pPr>
        <w:spacing w:after="120"/>
      </w:pPr>
      <w:hyperlink w:history="1" r:id="rIdkhn3o0nzy8bkhiaovtj9p">
        <w:r>
          <w:rPr>
            <w:rFonts w:ascii="Calibri" w:cs="Calibri" w:eastAsia="Calibri" w:hAnsi="Calibri"/>
            <w:color w:val="315B75"/>
            <w:sz w:val="17"/>
            <w:szCs w:val="17"/>
            <w:u w:val="single"/>
          </w:rPr>
          <w:t xml:space="preserve">https://www.hcch.net/en/instruments/conventions/status-table/?cid=41</w:t>
        </w:r>
      </w:hyperlink>
    </w:p>
    <w:p>
      <w:pPr>
        <w:keepNext/>
        <w:spacing w:after="60" w:before="100"/>
      </w:pPr>
      <w:r>
        <w:rPr>
          <w:rFonts w:ascii="Calibri" w:cs="Calibri" w:eastAsia="Calibri" w:hAnsi="Calibri"/>
          <w:b/>
          <w:bCs/>
          <w:sz w:val="18"/>
          <w:szCs w:val="18"/>
        </w:rPr>
        <w:t xml:space="preserve">Rules of Court, Rule 4 (Venue of Actions); Sps. Lantin v. Lantion, G.R. No. 160053, August 28, 2006 - Rule 4, Sec. 4(b): parties may agree in writing on an exclusive venue; without restrictive words a venue stipulation is only an additional forum (checked 2026-10-01)</w:t>
      </w:r>
    </w:p>
    <w:p>
      <w:pPr>
        <w:spacing w:after="120"/>
      </w:pPr>
      <w:hyperlink w:history="1" r:id="rIdvvxyaeuqrminknqpdltmv">
        <w:r>
          <w:rPr>
            <w:rFonts w:ascii="Calibri" w:cs="Calibri" w:eastAsia="Calibri" w:hAnsi="Calibri"/>
            <w:color w:val="315B75"/>
            <w:sz w:val="17"/>
            <w:szCs w:val="17"/>
            <w:u w:val="single"/>
          </w:rPr>
          <w:t xml:space="preserve">https://lawphil.net/judjuris/juri2006/aug2006/gr_160053_2006.html</w:t>
        </w:r>
      </w:hyperlink>
    </w:p>
    <w:p>
      <w:pPr>
        <w:keepNext/>
        <w:spacing w:after="60" w:before="100"/>
      </w:pPr>
      <w:r>
        <w:rPr>
          <w:rFonts w:ascii="Calibri" w:cs="Calibri" w:eastAsia="Calibri" w:hAnsi="Calibri"/>
          <w:b/>
          <w:bCs/>
          <w:sz w:val="18"/>
          <w:szCs w:val="18"/>
        </w:rPr>
        <w:t xml:space="preserve">Financing Company Act of 1998 (Republic Act No. 8556) - Sec. 3(a): corporations primarily organized to extend credit by discounting or factoring accounts receivable are financing companies subject to SEC authority (checked 2026-10-01)</w:t>
      </w:r>
    </w:p>
    <w:p>
      <w:pPr>
        <w:spacing w:after="120"/>
      </w:pPr>
      <w:hyperlink w:history="1" r:id="rId1xmadp01i3y8ixefagmji">
        <w:r>
          <w:rPr>
            <w:rFonts w:ascii="Calibri" w:cs="Calibri" w:eastAsia="Calibri" w:hAnsi="Calibri"/>
            <w:color w:val="315B75"/>
            <w:sz w:val="17"/>
            <w:szCs w:val="17"/>
            <w:u w:val="single"/>
          </w:rPr>
          <w:t xml:space="preserve">https://lawphil.net/statutes/repacts/ra1998/ra_8556_1998.html</w:t>
        </w:r>
      </w:hyperlink>
    </w:p>
    <w:p>
      <w:pPr>
        <w:keepNext/>
        <w:spacing w:after="60" w:before="100"/>
      </w:pPr>
      <w:r>
        <w:rPr>
          <w:rFonts w:ascii="Calibri" w:cs="Calibri" w:eastAsia="Calibri" w:hAnsi="Calibri"/>
          <w:b/>
          <w:bCs/>
          <w:sz w:val="18"/>
          <w:szCs w:val="18"/>
        </w:rPr>
        <w:t xml:space="preserve">National Internal Revenue Code of 1997 (Republic Act No. 8424), as amended - Income tax, value-added tax, withholding, and documentary stamp tax questions on the transfer of receivables and other rights (checked 2026-09-21)</w:t>
      </w:r>
    </w:p>
    <w:p>
      <w:pPr>
        <w:spacing w:after="120"/>
      </w:pPr>
      <w:hyperlink w:history="1" r:id="rIduuclslm928nc5hu6hhin_">
        <w:r>
          <w:rPr>
            <w:rFonts w:ascii="Calibri" w:cs="Calibri" w:eastAsia="Calibri" w:hAnsi="Calibri"/>
            <w:color w:val="315B75"/>
            <w:sz w:val="17"/>
            <w:szCs w:val="17"/>
            <w:u w:val="single"/>
          </w:rPr>
          <w:t xml:space="preserve">https://lawphil.net/statutes/repacts/ra1997/ra_8424_1997.html</w:t>
        </w:r>
      </w:hyperlink>
    </w:p>
    <w:p>
      <w:pPr>
        <w:keepNext/>
        <w:spacing w:after="60" w:before="100"/>
      </w:pPr>
      <w:r>
        <w:rPr>
          <w:rFonts w:ascii="Calibri" w:cs="Calibri" w:eastAsia="Calibri" w:hAnsi="Calibri"/>
          <w:b/>
          <w:bCs/>
          <w:sz w:val="18"/>
          <w:szCs w:val="18"/>
        </w:rPr>
        <w:t xml:space="preserve">Data Privacy Act of 2012 (Republic Act No. 10173) - Sec. 12 and Sec. 21: lawful processing and accountability when an assigned receivable carries personal data (checked 2026-09-21)</w:t>
      </w:r>
    </w:p>
    <w:p>
      <w:pPr>
        <w:spacing w:after="120"/>
      </w:pPr>
      <w:hyperlink w:history="1" r:id="rIdivwvjbszheuor_aj5g86a">
        <w:r>
          <w:rPr>
            <w:rFonts w:ascii="Calibri" w:cs="Calibri" w:eastAsia="Calibri" w:hAnsi="Calibri"/>
            <w:color w:val="315B75"/>
            <w:sz w:val="17"/>
            <w:szCs w:val="17"/>
            <w:u w:val="single"/>
          </w:rPr>
          <w:t xml:space="preserve">https://lawphil.net/statutes/repacts/ra2012/ra_10173_2012.html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nhcomko_kl09phrhbld3" Type="http://schemas.openxmlformats.org/officeDocument/2006/relationships/hyperlink" Target="https://lawphil.net/statutes/repacts/ra1949/ra_386_1949.html" TargetMode="External"/><Relationship Id="rIdr_gqfs-efwdqanhojnqc2" Type="http://schemas.openxmlformats.org/officeDocument/2006/relationships/hyperlink" Target="https://sc.judiciary.gov.ph/wp-content/uploads/2025/06/Amended-2004-Notarial-Rules.pdf" TargetMode="External"/><Relationship Id="rId_-9z6zwtyk9oh0orb1w9e" Type="http://schemas.openxmlformats.org/officeDocument/2006/relationships/hyperlink" Target="https://sc.judiciary.gov.ph/24-10-14-sc-rules-on-electronic-notarization/" TargetMode="External"/><Relationship Id="rIdkhn3o0nzy8bkhiaovtj9p" Type="http://schemas.openxmlformats.org/officeDocument/2006/relationships/hyperlink" Target="https://www.hcch.net/en/instruments/conventions/status-table/?cid=41" TargetMode="External"/><Relationship Id="rIdvvxyaeuqrminknqpdltmv" Type="http://schemas.openxmlformats.org/officeDocument/2006/relationships/hyperlink" Target="https://lawphil.net/judjuris/juri2006/aug2006/gr_160053_2006.html" TargetMode="External"/><Relationship Id="rId1xmadp01i3y8ixefagmji" Type="http://schemas.openxmlformats.org/officeDocument/2006/relationships/hyperlink" Target="https://lawphil.net/statutes/repacts/ra1998/ra_8556_1998.html" TargetMode="External"/><Relationship Id="rIduuclslm928nc5hu6hhin_" Type="http://schemas.openxmlformats.org/officeDocument/2006/relationships/hyperlink" Target="https://lawphil.net/statutes/repacts/ra1997/ra_8424_1997.html" TargetMode="External"/><Relationship Id="rIdivwvjbszheuor_aj5g86a" Type="http://schemas.openxmlformats.org/officeDocument/2006/relationships/hyperlink" Target="https://lawphil.net/statutes/repacts/ra2012/ra_10173_2012.html"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CONTRACTUAL RIGHTS</dc:title>
  <dc:creator>LAW.PH</dc:creator>
  <dc:description>Free sample of the Assignment of Contractual Rights from LAW.PH, with fictional details</dc:description>
  <cp:lastModifiedBy>Un-named</cp:lastModifiedBy>
  <cp:revision>1</cp:revision>
  <dcterms:created xsi:type="dcterms:W3CDTF">2026-10-02T05:29:57.871Z</dcterms:created>
  <dcterms:modified xsi:type="dcterms:W3CDTF">2026-10-02T05:29:57.872Z</dcterms:modified>
</cp:coreProperties>
</file>

<file path=docProps/custom.xml><?xml version="1.0" encoding="utf-8"?>
<Properties xmlns="http://schemas.openxmlformats.org/officeDocument/2006/custom-properties" xmlns:vt="http://schemas.openxmlformats.org/officeDocument/2006/docPropsVTypes"/>
</file>