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LIMITED AUTHORIZATION LETTER</w:t>
      </w:r>
    </w:p>
    <w:p>
      <w:pPr>
        <w:spacing w:after="160"/>
        <w:jc w:val="center"/>
      </w:pPr>
      <w:r>
        <w:rPr>
          <w:rFonts w:ascii="Calibri" w:cs="Calibri" w:eastAsia="Calibri" w:hAnsi="Calibri"/>
          <w:color w:val="566674"/>
          <w:sz w:val="18"/>
          <w:szCs w:val="18"/>
        </w:rPr>
        <w:t xml:space="preserve">Philippine administrative authorization · 0.3.0 · Independent Philippine lawyer review pending</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VERIFY RECIPIENT FORM AND ID REQUIREMENTS BEFORE USE</w:t>
      </w:r>
    </w:p>
    <w:p>
      <w:pPr>
        <w:keepLines/>
        <w:spacing w:after="120" w:line="264"/>
        <w:jc w:val="both"/>
      </w:pPr>
      <w:r>
        <w:rPr>
          <w:rFonts w:ascii="Calibri" w:cs="Calibri" w:eastAsia="Calibri" w:hAnsi="Calibri"/>
          <w:sz w:val="22"/>
          <w:szCs w:val="22"/>
        </w:rPr>
        <w:t xml:space="preserve">August 30, 2026</w:t>
      </w:r>
    </w:p>
    <w:p>
      <w:pPr>
        <w:keepLines/>
        <w:spacing w:after="120" w:line="264"/>
        <w:jc w:val="both"/>
      </w:pPr>
      <w:r>
        <w:rPr>
          <w:rFonts w:ascii="Calibri" w:cs="Calibri" w:eastAsia="Calibri" w:hAnsi="Calibri"/>
          <w:sz w:val="22"/>
          <w:szCs w:val="22"/>
        </w:rPr>
        <w:t xml:space="preserve">Bayanihan Express Logistics Corporation
Makati Central Claim Counter
100 Ayala Avenue, Barangay San Lorenzo, Makati City 1226, Philippines</w:t>
      </w:r>
    </w:p>
    <w:p>
      <w:pPr>
        <w:keepLines/>
        <w:spacing w:after="120" w:line="264"/>
        <w:jc w:val="both"/>
      </w:pPr>
      <w:r>
        <w:rPr>
          <w:rFonts w:ascii="Calibri" w:cs="Calibri" w:eastAsia="Calibri" w:hAnsi="Calibri"/>
          <w:sz w:val="22"/>
          <w:szCs w:val="22"/>
        </w:rPr>
        <w:t xml:space="preserve">RE: CLAIM AN IDENTIFIED ITEM OR DELIVERY — Tracking No. BEX-PH-2026-883190 and Claim Stub CS-55218</w:t>
      </w:r>
    </w:p>
    <w:p>
      <w:pPr>
        <w:keepLines/>
        <w:spacing w:after="120" w:line="264"/>
        <w:jc w:val="both"/>
      </w:pPr>
      <w:r>
        <w:rPr>
          <w:rFonts w:ascii="Calibri" w:cs="Calibri" w:eastAsia="Calibri" w:hAnsi="Calibri"/>
          <w:sz w:val="22"/>
          <w:szCs w:val="22"/>
        </w:rPr>
        <w:t xml:space="preserve">To whom it may concern:</w:t>
      </w:r>
    </w:p>
    <w:p>
      <w:pPr>
        <w:pStyle w:val="Heading2"/>
        <w:keepNext/>
        <w:spacing w:after="120" w:before="240"/>
      </w:pPr>
      <w:r>
        <w:rPr>
          <w:rFonts w:ascii="Calibri" w:cs="Calibri" w:eastAsia="Calibri" w:hAnsi="Calibri"/>
          <w:b/>
          <w:bCs/>
          <w:color w:val="102B3F"/>
          <w:sz w:val="26"/>
          <w:szCs w:val="26"/>
        </w:rPr>
        <w:t xml:space="preserve">Authorization</w:t>
      </w:r>
    </w:p>
    <w:p>
      <w:pPr>
        <w:keepLines/>
        <w:spacing w:after="120" w:line="264"/>
        <w:jc w:val="both"/>
      </w:pPr>
      <w:r>
        <w:rPr>
          <w:rFonts w:ascii="Calibri" w:cs="Calibri" w:eastAsia="Calibri" w:hAnsi="Calibri"/>
          <w:sz w:val="22"/>
          <w:szCs w:val="22"/>
        </w:rPr>
        <w:t xml:space="preserve">I, Maria L. Santos, of 15 Sampaguita Street, Barangay Poblacion, Quezon City 1100, Philippines, authorize Ana M. Cruz, of 44 Rizal Avenue, Barangay San Lorenzo, Makati City 1226, Philippines, identified by Philippine driver's license reference ending 7719, to claim an identified item or delivery solely as stated below. Relationship: Adult sister. I am identified by Philippine passport reference ending 4821.</w:t>
      </w:r>
    </w:p>
    <w:p>
      <w:pPr>
        <w:keepLines/>
        <w:spacing w:after="120" w:line="264"/>
        <w:jc w:val="both"/>
      </w:pPr>
      <w:r>
        <w:rPr>
          <w:rFonts w:ascii="Calibri" w:cs="Calibri" w:eastAsia="Calibri" w:hAnsi="Calibri"/>
          <w:sz w:val="22"/>
          <w:szCs w:val="22"/>
        </w:rPr>
        <w:t xml:space="preserve">Appear at the Makati Central Claim Counter, present this exact signed letter and the listed accepted identity records, and claim the sealed package corresponding only to Tracking No. BEX-PH-2026-883190 and Claim Stub CS-55218.</w:t>
      </w:r>
    </w:p>
    <w:p>
      <w:pPr>
        <w:keepLines/>
        <w:spacing w:after="120" w:line="264"/>
        <w:jc w:val="both"/>
      </w:pPr>
      <w:r>
        <w:rPr>
          <w:rFonts w:ascii="Calibri" w:cs="Calibri" w:eastAsia="Calibri" w:hAnsi="Calibri"/>
          <w:sz w:val="22"/>
          <w:szCs w:val="22"/>
        </w:rPr>
        <w:t xml:space="preserve">Subject person/account/item: Package consigned to Maria L. Santos at the principal address, with no authorization concerning any other account, shipment, person, refund, or benefit. Transaction reference: Tracking No. BEX-PH-2026-883190 and Claim Stub CS-55218.</w:t>
      </w:r>
    </w:p>
    <w:p>
      <w:pPr>
        <w:keepLines/>
        <w:spacing w:after="120" w:line="264"/>
        <w:jc w:val="both"/>
      </w:pPr>
      <w:r>
        <w:rPr>
          <w:rFonts w:ascii="Calibri" w:cs="Calibri" w:eastAsia="Calibri" w:hAnsi="Calibri"/>
          <w:sz w:val="22"/>
          <w:szCs w:val="22"/>
        </w:rPr>
        <w:t xml:space="preserve">Documents/items: One sealed parcel weighing approximately 2.4 kilograms, sender shown as Luzon Books Trading, tracking BEX-PH-2026-883190, claim stub CS-55218, together with the recipient-issued release receipt; contents are not authorized to be opened or inspected by the representative.</w:t>
      </w:r>
    </w:p>
    <w:p>
      <w:pPr>
        <w:keepLines/>
        <w:spacing w:after="120" w:line="264"/>
        <w:jc w:val="both"/>
      </w:pPr>
      <w:r>
        <w:rPr>
          <w:rFonts w:ascii="Calibri" w:cs="Calibri" w:eastAsia="Calibri" w:hAnsi="Calibri"/>
          <w:sz w:val="22"/>
          <w:szCs w:val="22"/>
        </w:rPr>
        <w:t xml:space="preserve">Permitted necessary steps: Present this signed letter and listed ID copies, submit the exact application or claim stub, sign only a receiving or release log, inspect the item/document identity, and deliver it securely to the Principal. Location/channel: In person at Bayanihan Express Makati Central Claim Counter, 100 Ayala Avenue, during published claim hours and before the stated expiry date.</w:t>
      </w:r>
    </w:p>
    <w:p>
      <w:pPr>
        <w:keepLines/>
        <w:spacing w:after="120" w:line="264"/>
        <w:jc w:val="both"/>
      </w:pPr>
      <w:r>
        <w:rPr>
          <w:rFonts w:ascii="Calibri" w:cs="Calibri" w:eastAsia="Calibri" w:hAnsi="Calibri"/>
          <w:sz w:val="22"/>
          <w:szCs w:val="22"/>
        </w:rPr>
        <w:t xml:space="preserve">No fee-payment authority is granted.</w:t>
      </w:r>
    </w:p>
    <w:p>
      <w:pPr>
        <w:pStyle w:val="Heading2"/>
        <w:keepNext/>
        <w:spacing w:after="120" w:before="240"/>
      </w:pPr>
      <w:r>
        <w:rPr>
          <w:rFonts w:ascii="Calibri" w:cs="Calibri" w:eastAsia="Calibri" w:hAnsi="Calibri"/>
          <w:b/>
          <w:bCs/>
          <w:color w:val="102B3F"/>
          <w:sz w:val="26"/>
          <w:szCs w:val="26"/>
        </w:rPr>
        <w:t xml:space="preserve">Strict limits</w:t>
      </w:r>
    </w:p>
    <w:p>
      <w:pPr>
        <w:keepLines/>
        <w:spacing w:after="120" w:line="264"/>
        <w:jc w:val="both"/>
      </w:pPr>
      <w:r>
        <w:rPr>
          <w:rFonts w:ascii="Calibri" w:cs="Calibri" w:eastAsia="Calibri" w:hAnsi="Calibri"/>
          <w:sz w:val="22"/>
          <w:szCs w:val="22"/>
        </w:rPr>
        <w:t xml:space="preserve">The Authorized Person may perform only the exact administrative act and necessary listed steps; no ownership, contract, account-control, waiver, borrowing, substitution, onward disclosure, or unrelated discretion is granted.</w:t>
      </w:r>
    </w:p>
    <w:p>
      <w:pPr>
        <w:keepLines/>
        <w:spacing w:after="120" w:line="264"/>
        <w:jc w:val="both"/>
      </w:pPr>
      <w:r>
        <w:rPr>
          <w:rFonts w:ascii="Calibri" w:cs="Calibri" w:eastAsia="Calibri" w:hAnsi="Calibri"/>
          <w:sz w:val="22"/>
          <w:szCs w:val="22"/>
        </w:rPr>
        <w:t xml:space="preserve">This letter does not authorize the representative to sign or form a contract; borrow or obtain credit; sell, mortgage, lease, transfer, or encumber property; compromise, waive, settle, novate, arbitrate, litigate, or abandon a right; make a gift; enter a partnership; accept or repudiate an inheritance; bind the Principal as guarantor or surety; endorse an instrument; change account ownership or control; receive cash, checks, benefits, refunds, or proceeds; appoint a substitute; use data for another purpose; retain originals; or make an unstated certification, admission, guarantee, or factual representation.</w:t>
      </w:r>
    </w:p>
    <w:p>
      <w:pPr>
        <w:keepLines/>
        <w:spacing w:after="120" w:line="264"/>
        <w:jc w:val="both"/>
      </w:pPr>
      <w:r>
        <w:rPr>
          <w:rFonts w:ascii="Calibri" w:cs="Calibri" w:eastAsia="Calibri" w:hAnsi="Calibri"/>
          <w:sz w:val="22"/>
          <w:szCs w:val="22"/>
        </w:rPr>
        <w:t xml:space="preserve">Any signature by the Authorized Person is limited to a receipt, release log, filing acknowledgment, or transaction-status record that does not create or waive a substantive right or obligation. No password, PIN, OTP, biometric, private key, or unrestricted account credential is shared or authorized.</w:t>
      </w:r>
    </w:p>
    <w:p>
      <w:pPr>
        <w:keepLines/>
        <w:spacing w:after="120" w:line="264"/>
        <w:jc w:val="both"/>
      </w:pPr>
      <w:r>
        <w:rPr>
          <w:rFonts w:ascii="Calibri" w:cs="Calibri" w:eastAsia="Calibri" w:hAnsi="Calibri"/>
          <w:sz w:val="22"/>
          <w:szCs w:val="22"/>
        </w:rPr>
        <w:t xml:space="preserve">The Authorized Person must act within the exact scope and for the Principal's benefit, exercise ordinary diligence, follow lawful recipient instructions, obtain official receipts, protect items and records, disclose any conflict or incident, and stop and contact the Principal when an unexpected substantive decision or broader authority is requested.</w:t>
      </w:r>
    </w:p>
    <w:p>
      <w:pPr>
        <w:pStyle w:val="Heading2"/>
        <w:keepNext/>
        <w:spacing w:after="120" w:before="240"/>
      </w:pPr>
      <w:r>
        <w:rPr>
          <w:rFonts w:ascii="Calibri" w:cs="Calibri" w:eastAsia="Calibri" w:hAnsi="Calibri"/>
          <w:b/>
          <w:bCs/>
          <w:color w:val="102B3F"/>
          <w:sz w:val="26"/>
          <w:szCs w:val="26"/>
        </w:rPr>
        <w:t xml:space="preserve">Personal data and record custody</w:t>
      </w:r>
    </w:p>
    <w:p>
      <w:pPr>
        <w:keepLines/>
        <w:spacing w:after="120" w:line="264"/>
        <w:jc w:val="both"/>
      </w:pPr>
      <w:r>
        <w:rPr>
          <w:rFonts w:ascii="Calibri" w:cs="Calibri" w:eastAsia="Calibri" w:hAnsi="Calibri"/>
          <w:sz w:val="22"/>
          <w:szCs w:val="22"/>
        </w:rPr>
        <w:t xml:space="preserve">Minimum data: Principal and representative names, minimum ID references, verified contact details, shipment tracking and claim-stub references, and the transaction's release and handoff status. No sensitive personal information is intentionally included beyond what the named recipient lawfully requires.</w:t>
      </w:r>
    </w:p>
    <w:p>
      <w:pPr>
        <w:keepLines/>
        <w:spacing w:after="120" w:line="264"/>
        <w:jc w:val="both"/>
      </w:pPr>
      <w:r>
        <w:rPr>
          <w:rFonts w:ascii="Calibri" w:cs="Calibri" w:eastAsia="Calibri" w:hAnsi="Calibri"/>
          <w:sz w:val="22"/>
          <w:szCs w:val="22"/>
        </w:rPr>
        <w:t xml:space="preserve">Purpose and necessity: Verify the principal and authorized representative and release the one identified parcel because the Principal is outside Metro Manila during the claim period; no unrelated account, purchase, browsing, contents, or recipient data is necessary.</w:t>
      </w:r>
    </w:p>
    <w:p>
      <w:pPr>
        <w:keepLines/>
        <w:spacing w:after="120" w:line="264"/>
        <w:jc w:val="both"/>
      </w:pPr>
      <w:r>
        <w:rPr>
          <w:rFonts w:ascii="Calibri" w:cs="Calibri" w:eastAsia="Calibri" w:hAnsi="Calibri"/>
          <w:sz w:val="22"/>
          <w:szCs w:val="22"/>
        </w:rPr>
        <w:t xml:space="preserve">Authorized recipients: Assigned personnel of Bayanihan Express Makati Central Claim Counter who need the data for identity verification and release, Ana M. Cruz for the limited transaction, and Maria L. Santos for handoff and accounting. Original/copy handling: Use originals only for in-person verification where required; do not surrender an original unless expressly listed; mark and account for every copy, keep it secure, and prohibit unrelated reproduction or forwarding.</w:t>
      </w:r>
    </w:p>
    <w:p>
      <w:pPr>
        <w:keepLines/>
        <w:spacing w:after="120" w:line="264"/>
        <w:jc w:val="both"/>
      </w:pPr>
      <w:r>
        <w:rPr>
          <w:rFonts w:ascii="Calibri" w:cs="Calibri" w:eastAsia="Calibri" w:hAnsi="Calibri"/>
          <w:sz w:val="22"/>
          <w:szCs w:val="22"/>
        </w:rPr>
        <w:t xml:space="preserve">Completion handling: Return all originals, transaction output, receipts, unused copies, and funds immediately after completion; securely delete unnecessary working copies after confirmed handoff unless law or a documented recipient rule requires retention.</w:t>
      </w:r>
    </w:p>
    <w:p>
      <w:pPr>
        <w:keepLines/>
        <w:spacing w:after="120" w:line="264"/>
        <w:jc w:val="both"/>
      </w:pPr>
      <w:r>
        <w:rPr>
          <w:rFonts w:ascii="Calibri" w:cs="Calibri" w:eastAsia="Calibri" w:hAnsi="Calibri"/>
          <w:sz w:val="22"/>
          <w:szCs w:val="22"/>
        </w:rPr>
        <w:t xml:space="preserve">Incident process: Notify the Principal immediately of any loss, misdelivery, unauthorized access, suspicious request, credential request, or disclosure; stop the transaction where safe, preserve evidence, and follow the recipient's incident process.</w:t>
      </w:r>
    </w:p>
    <w:p>
      <w:pPr>
        <w:keepLines/>
        <w:spacing w:after="120" w:line="264"/>
        <w:jc w:val="both"/>
      </w:pPr>
      <w:r>
        <w:rPr>
          <w:rFonts w:ascii="Calibri" w:cs="Calibri" w:eastAsia="Calibri" w:hAnsi="Calibri"/>
          <w:sz w:val="22"/>
          <w:szCs w:val="22"/>
        </w:rPr>
        <w:t xml:space="preserve">This letter identifies authority and purpose; it does not compel the recipient to disclose data unlawfully, create a missing lawful basis, waive data-subject rights, authorize unrelated processing, or override confidentiality, privilege, professional duties, or the recipient's verification rules.</w:t>
      </w:r>
    </w:p>
    <w:p>
      <w:pPr>
        <w:pStyle w:val="Heading2"/>
        <w:keepNext/>
        <w:spacing w:after="120" w:before="240"/>
      </w:pPr>
      <w:r>
        <w:rPr>
          <w:rFonts w:ascii="Calibri" w:cs="Calibri" w:eastAsia="Calibri" w:hAnsi="Calibri"/>
          <w:b/>
          <w:bCs/>
          <w:color w:val="102B3F"/>
          <w:sz w:val="26"/>
          <w:szCs w:val="26"/>
        </w:rPr>
        <w:t xml:space="preserve">Validity, completion, and revocation</w:t>
      </w:r>
    </w:p>
    <w:p>
      <w:pPr>
        <w:keepLines/>
        <w:spacing w:after="120" w:line="264"/>
        <w:jc w:val="both"/>
      </w:pPr>
      <w:r>
        <w:rPr>
          <w:rFonts w:ascii="Calibri" w:cs="Calibri" w:eastAsia="Calibri" w:hAnsi="Calibri"/>
          <w:sz w:val="22"/>
          <w:szCs w:val="22"/>
        </w:rPr>
        <w:t xml:space="preserve">This authority begins August 30, 2026 and expires automatically at the end of September 10, 2026 or earlier upon Actual release of parcel BEX-PH-2026-883190 to Ana M. Cruz, her signed recipient release log, and her documented delivery of the unopened parcel, receipt, all originals, and unused copies to Maria L. Santos. It does not revive after expiry or completion.</w:t>
      </w:r>
    </w:p>
    <w:p>
      <w:pPr>
        <w:keepLines/>
        <w:spacing w:after="120" w:line="264"/>
        <w:jc w:val="both"/>
      </w:pPr>
      <w:r>
        <w:rPr>
          <w:rFonts w:ascii="Calibri" w:cs="Calibri" w:eastAsia="Calibri" w:hAnsi="Calibri"/>
          <w:sz w:val="22"/>
          <w:szCs w:val="22"/>
        </w:rPr>
        <w:t xml:space="preserve">Revocation: The Principal may revoke before completion by signed notice through the same verified physical and electronic channels used to deliver this authorization; revocation is effective for a recipient upon actual notice, subject to law. Recipient verification: Recipient may verify through the Principal's stated telephone/email using an independently confirmed contact, a challenge phrase agreed outside this letter, and the listed ID reference without requesting passwords, PINs, OTPs, or biometrics.</w:t>
      </w:r>
    </w:p>
    <w:p>
      <w:pPr>
        <w:keepLines/>
        <w:spacing w:after="120" w:line="264"/>
        <w:jc w:val="both"/>
      </w:pPr>
      <w:r>
        <w:rPr>
          <w:rFonts w:ascii="Calibri" w:cs="Calibri" w:eastAsia="Calibri" w:hAnsi="Calibri"/>
          <w:sz w:val="22"/>
          <w:szCs w:val="22"/>
        </w:rPr>
        <w:t xml:space="preserve">The Authorized Person must report and account within 1 calendar day(s): Within the stated number of calendar days after completion or failed attempt, return all originals, items, receipts, copies, and unused funds and deliver a dated account of actions, persons contacted, fees, reference numbers, and any incident.</w:t>
      </w:r>
    </w:p>
    <w:p>
      <w:pPr>
        <w:pStyle w:val="Heading2"/>
        <w:keepNext/>
        <w:spacing w:after="120" w:before="240"/>
      </w:pPr>
      <w:r>
        <w:rPr>
          <w:rFonts w:ascii="Calibri" w:cs="Calibri" w:eastAsia="Calibri" w:hAnsi="Calibri"/>
          <w:b/>
          <w:bCs/>
          <w:color w:val="102B3F"/>
          <w:sz w:val="26"/>
          <w:szCs w:val="26"/>
        </w:rPr>
        <w:t xml:space="preserve">Recipient instructions and verification</w:t>
      </w:r>
    </w:p>
    <w:p>
      <w:pPr>
        <w:keepLines/>
        <w:spacing w:after="120" w:line="264"/>
        <w:jc w:val="both"/>
      </w:pPr>
      <w:r>
        <w:rPr>
          <w:rFonts w:ascii="Calibri" w:cs="Calibri" w:eastAsia="Calibri" w:hAnsi="Calibri"/>
          <w:sz w:val="22"/>
          <w:szCs w:val="22"/>
        </w:rPr>
        <w:t xml:space="preserve">Recipient status: verified accepts letter. Verification evidence: On 29 August 2026, Bayanihan Express Makati Branch confirmed through its published customer-service line and written claim instructions that it accepts a wet-ink authorization letter, copies of two accepted photo IDs, tracking reference, claim stub, and personal appearance by the representative within 30 days; no notarization or proprietary form was required for this package.</w:t>
      </w:r>
    </w:p>
    <w:p>
      <w:pPr>
        <w:keepLines/>
        <w:spacing w:after="120" w:line="264"/>
        <w:jc w:val="both"/>
      </w:pPr>
      <w:r>
        <w:rPr>
          <w:rFonts w:ascii="Calibri" w:cs="Calibri" w:eastAsia="Calibri" w:hAnsi="Calibri"/>
          <w:sz w:val="22"/>
          <w:szCs w:val="22"/>
        </w:rPr>
        <w:t xml:space="preserve">Recipient contact: Published customer-service line +63 2 8555 4400 and claims@bayanihanexpress.example, independently confirmed from the recipient's current official instructions. Principal verification: +63 917 555 0101 / maria.santos@example.com.</w:t>
      </w:r>
    </w:p>
    <w:p>
      <w:pPr>
        <w:keepLines/>
        <w:spacing w:after="120" w:line="264"/>
        <w:jc w:val="both"/>
      </w:pPr>
      <w:r>
        <w:rPr>
          <w:rFonts w:ascii="Calibri" w:cs="Calibri" w:eastAsia="Calibri" w:hAnsi="Calibri"/>
          <w:sz w:val="22"/>
          <w:szCs w:val="22"/>
        </w:rPr>
        <w:t xml:space="preserve">Attachments: Recipient-marked copies of Maria L. Santos's Philippine passport and Ana M. Cruz's driver's license, each showing only the data Bayanihan Express requires and labeled solely for package BEX-PH-2026-883190 claim through 10 September 2026. Copies and delivery: Maria L. Santos signs two matching wet-ink originals; one exact package goes to the recipient, one remains with the Principal, and Ana M. Cruz receives a reference copy. Tracking, recipient receipt, revocation notice if any, and final handoff record are retained together.</w:t>
      </w:r>
    </w:p>
    <w:p>
      <w:pPr>
        <w:keepLines/>
        <w:spacing w:after="120" w:line="264"/>
        <w:jc w:val="both"/>
      </w:pPr>
      <w:r>
        <w:rPr>
          <w:rFonts w:ascii="Calibri" w:cs="Calibri" w:eastAsia="Calibri" w:hAnsi="Calibri"/>
          <w:sz w:val="22"/>
          <w:szCs w:val="22"/>
        </w:rPr>
        <w:t xml:space="preserve">Routing result: limited administration. The recipient may require its own form, original ID, personal appearance, notarization, extra authority evidence, or a Special Power of Attorney. This letter is effective only to the extent accepted and legally sufficient for the exact limited transaction.</w:t>
      </w:r>
    </w:p>
    <w:p>
      <w:pPr>
        <w:keepLines/>
        <w:spacing w:after="120" w:line="264"/>
        <w:jc w:val="both"/>
      </w:pPr>
      <w:r>
        <w:rPr>
          <w:rFonts w:ascii="Calibri" w:cs="Calibri" w:eastAsia="Calibri" w:hAnsi="Calibri"/>
          <w:sz w:val="22"/>
          <w:szCs w:val="22"/>
        </w:rPr>
        <w:t xml:space="preserve">Respectfully,</w:t>
      </w:r>
    </w:p>
    <w:p>
      <w:pPr>
        <w:keepNext/>
        <w:spacing w:after="260" w:before="360"/>
      </w:pPr>
      <w:r>
        <w:rPr>
          <w:rFonts w:ascii="Calibri" w:cs="Calibri" w:eastAsia="Calibri" w:hAnsi="Calibri"/>
          <w:b/>
          <w:bCs/>
          <w:sz w:val="22"/>
          <w:szCs w:val="22"/>
        </w:rPr>
        <w:t xml:space="preserve">Sign the exact final letter in the recipient-accepted form and attach only the minimum required identity records.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PRINCIPAL</w:t>
            </w:r>
          </w:p>
          <w:p>
            <w:pPr>
              <w:spacing w:after="120"/>
            </w:pPr>
            <w:r>
              <w:rPr>
                <w:rFonts w:ascii="Calibri" w:cs="Calibri" w:eastAsia="Calibri" w:hAnsi="Calibri"/>
                <w:sz w:val="22"/>
                <w:szCs w:val="22"/>
              </w:rPr>
              <w:t xml:space="preserve">Maria L. Santos</w:t>
            </w:r>
          </w:p>
          <w:p>
            <w:pPr>
              <w:spacing w:after="120"/>
            </w:pPr>
            <w:r>
              <w:rPr>
                <w:rFonts w:ascii="Calibri" w:cs="Calibri" w:eastAsia="Calibri" w:hAnsi="Calibri"/>
                <w:sz w:val="22"/>
                <w:szCs w:val="22"/>
              </w:rPr>
              <w:t xml:space="preserve">Principal</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AUTHORIZED PERSON — ACCEPTED WITHIN THE STATED LIMITS</w:t>
            </w:r>
          </w:p>
          <w:p>
            <w:pPr>
              <w:spacing w:after="120"/>
            </w:pPr>
            <w:r>
              <w:rPr>
                <w:rFonts w:ascii="Calibri" w:cs="Calibri" w:eastAsia="Calibri" w:hAnsi="Calibri"/>
                <w:sz w:val="22"/>
                <w:szCs w:val="22"/>
              </w:rPr>
              <w:t xml:space="preserve">Ana M. Cruz</w:t>
            </w:r>
          </w:p>
          <w:p>
            <w:pPr>
              <w:spacing w:after="120"/>
            </w:pPr>
            <w:r>
              <w:rPr>
                <w:rFonts w:ascii="Calibri" w:cs="Calibri" w:eastAsia="Calibri" w:hAnsi="Calibri"/>
                <w:sz w:val="22"/>
                <w:szCs w:val="22"/>
              </w:rPr>
              <w:t xml:space="preserve">Authorized Person</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TRANSACTION COMPLETION AND HANDOFF RECORD — COMPLETE AFTER THE EVENT</w:t>
      </w:r>
    </w:p>
    <w:p>
      <w:pPr>
        <w:keepLines/>
        <w:spacing w:after="120" w:line="264"/>
        <w:jc w:val="both"/>
      </w:pPr>
      <w:r>
        <w:rPr>
          <w:rFonts w:ascii="Calibri" w:cs="Calibri" w:eastAsia="Calibri" w:hAnsi="Calibri"/>
          <w:sz w:val="22"/>
          <w:szCs w:val="22"/>
        </w:rPr>
        <w:t xml:space="preserve">Actual date/time and place/channel: ____________________</w:t>
      </w:r>
    </w:p>
    <w:p>
      <w:pPr>
        <w:keepLines/>
        <w:spacing w:after="120" w:line="264"/>
        <w:jc w:val="both"/>
      </w:pPr>
      <w:r>
        <w:rPr>
          <w:rFonts w:ascii="Calibri" w:cs="Calibri" w:eastAsia="Calibri" w:hAnsi="Calibri"/>
          <w:sz w:val="22"/>
          <w:szCs w:val="22"/>
        </w:rPr>
        <w:t xml:space="preserve">Recipient personnel and verification method: ____________________</w:t>
      </w:r>
    </w:p>
    <w:p>
      <w:pPr>
        <w:keepLines/>
        <w:spacing w:after="120" w:line="264"/>
        <w:jc w:val="both"/>
      </w:pPr>
      <w:r>
        <w:rPr>
          <w:rFonts w:ascii="Calibri" w:cs="Calibri" w:eastAsia="Calibri" w:hAnsi="Calibri"/>
          <w:sz w:val="22"/>
          <w:szCs w:val="22"/>
        </w:rPr>
        <w:t xml:space="preserve">Action completed or refused, with reference: ____________________</w:t>
      </w:r>
    </w:p>
    <w:p>
      <w:pPr>
        <w:keepLines/>
        <w:spacing w:after="120" w:line="264"/>
        <w:jc w:val="both"/>
      </w:pPr>
      <w:r>
        <w:rPr>
          <w:rFonts w:ascii="Calibri" w:cs="Calibri" w:eastAsia="Calibri" w:hAnsi="Calibri"/>
          <w:sz w:val="22"/>
          <w:szCs w:val="22"/>
        </w:rPr>
        <w:t xml:space="preserve">Documents/items received, submitted, or returned: ____________________</w:t>
      </w:r>
    </w:p>
    <w:p>
      <w:pPr>
        <w:keepLines/>
        <w:spacing w:after="120" w:line="264"/>
        <w:jc w:val="both"/>
      </w:pPr>
      <w:r>
        <w:rPr>
          <w:rFonts w:ascii="Calibri" w:cs="Calibri" w:eastAsia="Calibri" w:hAnsi="Calibri"/>
          <w:sz w:val="22"/>
          <w:szCs w:val="22"/>
        </w:rPr>
        <w:t xml:space="preserve">Fees paid and official receipt; unused funds returned: ____________________</w:t>
      </w:r>
    </w:p>
    <w:p>
      <w:pPr>
        <w:keepLines/>
        <w:spacing w:after="120" w:line="264"/>
        <w:jc w:val="both"/>
      </w:pPr>
      <w:r>
        <w:rPr>
          <w:rFonts w:ascii="Calibri" w:cs="Calibri" w:eastAsia="Calibri" w:hAnsi="Calibri"/>
          <w:sz w:val="22"/>
          <w:szCs w:val="22"/>
        </w:rPr>
        <w:t xml:space="preserve">Incident, unexpected request, or scope refusal: ____________________</w:t>
      </w:r>
    </w:p>
    <w:p>
      <w:pPr>
        <w:keepLines/>
        <w:spacing w:after="120" w:line="264"/>
        <w:jc w:val="both"/>
      </w:pPr>
      <w:r>
        <w:rPr>
          <w:rFonts w:ascii="Calibri" w:cs="Calibri" w:eastAsia="Calibri" w:hAnsi="Calibri"/>
          <w:sz w:val="22"/>
          <w:szCs w:val="22"/>
        </w:rPr>
        <w:t xml:space="preserve">Handoff to Principal and acknowledgment: ____________________</w:t>
      </w:r>
    </w:p>
    <w:p>
      <w:pPr>
        <w:keepLines/>
        <w:spacing w:after="120" w:line="264"/>
        <w:jc w:val="both"/>
      </w:pPr>
      <w:r>
        <w:rPr>
          <w:rFonts w:ascii="Calibri" w:cs="Calibri" w:eastAsia="Calibri" w:hAnsi="Calibri"/>
          <w:sz w:val="22"/>
          <w:szCs w:val="22"/>
        </w:rPr>
        <w:t xml:space="preserve">Authorized Person signature/date: ____________________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Confirm directly with the exact recipient office that it accepts a letter and whether it requires its own form, original signatures, IDs, personal appearance, appointment, fee, validity window, witnesses, or notarization.</w:t>
      </w:r>
    </w:p>
    <w:p>
      <w:pPr>
        <w:pStyle w:val="ListParagraph"/>
        <w:keepNext/>
        <w:numPr>
          <w:ilvl w:val="0"/>
          <w:numId w:val="1"/>
        </w:numPr>
        <w:spacing w:after="120" w:line="264"/>
      </w:pPr>
      <w:r>
        <w:rPr>
          <w:rFonts w:ascii="Calibri" w:cs="Calibri" w:eastAsia="Calibri" w:hAnsi="Calibri"/>
          <w:sz w:val="22"/>
          <w:szCs w:val="22"/>
        </w:rPr>
        <w:t xml:space="preserve">Use the Special Power of Attorney generator and recipient-specific review for Article 1878 acts, real property, borrowing, guaranty, litigation, compromise, waivers, long leases, inheritance, partnership, gifts, strict dominion, or any substantive contract signature.</w:t>
      </w:r>
    </w:p>
    <w:p>
      <w:pPr>
        <w:pStyle w:val="ListParagraph"/>
        <w:keepNext/>
        <w:numPr>
          <w:ilvl w:val="0"/>
          <w:numId w:val="1"/>
        </w:numPr>
        <w:spacing w:after="120" w:line="264"/>
      </w:pPr>
      <w:r>
        <w:rPr>
          <w:rFonts w:ascii="Calibri" w:cs="Calibri" w:eastAsia="Calibri" w:hAnsi="Calibri"/>
          <w:sz w:val="22"/>
          <w:szCs w:val="22"/>
        </w:rPr>
        <w:t xml:space="preserve">Use complete legal names and exact office, transaction, item/document, quantity, issuer, date, and reference; attach only recipient-required records and redact unnecessary ID numbers in working copies where permitted.</w:t>
      </w:r>
    </w:p>
    <w:p>
      <w:pPr>
        <w:pStyle w:val="ListParagraph"/>
        <w:keepNext/>
        <w:numPr>
          <w:ilvl w:val="0"/>
          <w:numId w:val="1"/>
        </w:numPr>
        <w:spacing w:after="120" w:line="264"/>
      </w:pPr>
      <w:r>
        <w:rPr>
          <w:rFonts w:ascii="Calibri" w:cs="Calibri" w:eastAsia="Calibri" w:hAnsi="Calibri"/>
          <w:sz w:val="22"/>
          <w:szCs w:val="22"/>
        </w:rPr>
        <w:t xml:space="preserve">Never share passwords, PINs, OTPs, biometrics, private keys, blank signed forms, unrestricted credentials, or a signature page detached from the exact authorization.</w:t>
      </w:r>
    </w:p>
    <w:p>
      <w:pPr>
        <w:pStyle w:val="ListParagraph"/>
        <w:keepNext/>
        <w:numPr>
          <w:ilvl w:val="0"/>
          <w:numId w:val="1"/>
        </w:numPr>
        <w:spacing w:after="120" w:line="264"/>
      </w:pPr>
      <w:r>
        <w:rPr>
          <w:rFonts w:ascii="Calibri" w:cs="Calibri" w:eastAsia="Calibri" w:hAnsi="Calibri"/>
          <w:sz w:val="22"/>
          <w:szCs w:val="22"/>
        </w:rPr>
        <w:t xml:space="preserve">Provide the recipient a current verification channel independent from the Authorized Person and a way to confirm revocation, expiry, completion, or a suspicious request.</w:t>
      </w:r>
    </w:p>
    <w:p>
      <w:pPr>
        <w:pStyle w:val="ListParagraph"/>
        <w:keepNext/>
        <w:numPr>
          <w:ilvl w:val="0"/>
          <w:numId w:val="1"/>
        </w:numPr>
        <w:spacing w:after="120" w:line="264"/>
      </w:pPr>
      <w:r>
        <w:rPr>
          <w:rFonts w:ascii="Calibri" w:cs="Calibri" w:eastAsia="Calibri" w:hAnsi="Calibri"/>
          <w:sz w:val="22"/>
          <w:szCs w:val="22"/>
        </w:rPr>
        <w:t xml:space="preserve">Keep authority short and single-use where possible. After completion, recover or mark copies expired, notify the recipient of revocation when needed, and preserve the exact final letter and delivery evidence.</w:t>
      </w:r>
    </w:p>
    <w:p>
      <w:pPr>
        <w:pStyle w:val="ListParagraph"/>
        <w:keepNext/>
        <w:numPr>
          <w:ilvl w:val="0"/>
          <w:numId w:val="1"/>
        </w:numPr>
        <w:spacing w:after="120" w:line="264"/>
      </w:pPr>
      <w:r>
        <w:rPr>
          <w:rFonts w:ascii="Calibri" w:cs="Calibri" w:eastAsia="Calibri" w:hAnsi="Calibri"/>
          <w:sz w:val="22"/>
          <w:szCs w:val="22"/>
        </w:rPr>
        <w:t xml:space="preserve">The Authorized Person should refuse any broader decision, contract, declaration, waiver, payment, cash receipt, data disclosure, credential request, substitution, or transaction not expressly and lawfully authorized.</w:t>
      </w:r>
    </w:p>
    <w:p>
      <w:pPr>
        <w:pStyle w:val="ListParagraph"/>
        <w:keepNext/>
        <w:numPr>
          <w:ilvl w:val="0"/>
          <w:numId w:val="1"/>
        </w:numPr>
        <w:spacing w:after="120" w:line="264"/>
      </w:pPr>
      <w:r>
        <w:rPr>
          <w:rFonts w:ascii="Calibri" w:cs="Calibri" w:eastAsia="Calibri" w:hAnsi="Calibri"/>
          <w:sz w:val="22"/>
          <w:szCs w:val="22"/>
        </w:rPr>
        <w:t xml:space="preserve">Protect personal and sensitive information through minimization, secure custody, restricted recipients, prompt return/deletion, incident reporting, and no unrelated use or onward disclosure.</w:t>
      </w:r>
    </w:p>
    <w:p>
      <w:pPr>
        <w:pStyle w:val="ListParagraph"/>
        <w:keepNext/>
        <w:numPr>
          <w:ilvl w:val="0"/>
          <w:numId w:val="1"/>
        </w:numPr>
        <w:spacing w:after="120" w:line="264"/>
      </w:pPr>
      <w:r>
        <w:rPr>
          <w:rFonts w:ascii="Calibri" w:cs="Calibri" w:eastAsia="Calibri" w:hAnsi="Calibri"/>
          <w:sz w:val="22"/>
          <w:szCs w:val="22"/>
        </w:rPr>
        <w:t xml:space="preserve">Complete the transaction record only after the actual event and attach official receipts, release/receiving logs, tracking, reference numbers, returned originals, unused funds, and the Principal's handoff acknowledgment.</w:t>
      </w:r>
    </w:p>
    <w:p>
      <w:pPr>
        <w:pStyle w:val="ListParagraph"/>
        <w:keepNext w:val="false"/>
        <w:numPr>
          <w:ilvl w:val="0"/>
          <w:numId w:val="1"/>
        </w:numPr>
        <w:spacing w:after="120" w:line="264"/>
      </w:pPr>
      <w:r>
        <w:rPr>
          <w:rFonts w:ascii="Calibri" w:cs="Calibri" w:eastAsia="Calibri" w:hAnsi="Calibri"/>
          <w:sz w:val="22"/>
          <w:szCs w:val="22"/>
        </w:rPr>
        <w:t xml:space="preserve">A recipient's acceptance of the paper does not prove the representative lawfully completed the transaction; preserve the authority, actual acts, receipts, custody, and final accounting as separate evidence.</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v0.3.0 | Republic of the Philippines | Effective 2026-08-30 onward, subject to the recorded review cycle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Republic Act No. 386 — Civil Code of the Philippines - Article 1240 on payment to a person authorized to receive it, and Articles 1868–1883, 1887–1912, and 1919–1922 on agency, express authority, special versus general acts, special powers, scope, agent duties (including Article 1891 on accounting for and delivering what the agent receives, and Article 1896 on interest owed on sums the agent applies to personal use), liability, completion, expiry, and revocation notice (checked 2026-10-01)</w:t>
      </w:r>
    </w:p>
    <w:p>
      <w:pPr>
        <w:spacing w:after="120"/>
      </w:pPr>
      <w:hyperlink w:history="1" r:id="rIdyxgq2b5jsyi4e0u_w4ver">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Labor Code of the Philippines (Presidential Decree No. 442), DOLE renumbered edition (2022) - Article 105 [105] (number unchanged by the renumbering): wages are paid directly to the worker, except as the Secretary of Labor and Employment provides, in which case the worker may be paid through another person under the worker's written authority (checked 2026-10-01)</w:t>
      </w:r>
    </w:p>
    <w:p>
      <w:pPr>
        <w:spacing w:after="120"/>
      </w:pPr>
      <w:hyperlink w:history="1" r:id="rIdisgm8ytnamwx1gtvhqflv">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Omnibus Rules Implementing the Labor Code - Book III, Rule VIII, Sec. 5(a): wages may be paid to another person where the employer is authorized in writing by the employee to pay the wages to a member of the employee's family (checked 2026-10-01)</w:t>
      </w:r>
    </w:p>
    <w:p>
      <w:pPr>
        <w:spacing w:after="120"/>
      </w:pPr>
      <w:hyperlink w:history="1" r:id="rId7ov6vy-6onuybxyns6tqf">
        <w:r>
          <w:rPr>
            <w:rFonts w:ascii="Calibri" w:cs="Calibri" w:eastAsia="Calibri" w:hAnsi="Calibri"/>
            <w:color w:val="315B75"/>
            <w:sz w:val="17"/>
            <w:szCs w:val="17"/>
            <w:u w:val="single"/>
          </w:rPr>
          <w:t xml:space="preserve">https://elibrary.judiciary.gov.ph/thebookshelf/showdocs/2/85819</w:t>
        </w:r>
      </w:hyperlink>
    </w:p>
    <w:p>
      <w:pPr>
        <w:keepNext/>
        <w:spacing w:after="60" w:before="100"/>
      </w:pPr>
      <w:r>
        <w:rPr>
          <w:rFonts w:ascii="Calibri" w:cs="Calibri" w:eastAsia="Calibri" w:hAnsi="Calibri"/>
          <w:b/>
          <w:bCs/>
          <w:sz w:val="18"/>
          <w:szCs w:val="18"/>
        </w:rPr>
        <w:t xml:space="preserve">2004 Rules on Notarial Practice (A.M. No. 02-8-13-SC) - Rule II, Sec. 1 (acknowledgment, including a representative's declaration of authority to sign in that capacity); Rule VIII, Sec. 2 (contents of the notarial certificate) (checked 2026-10-01)</w:t>
      </w:r>
    </w:p>
    <w:p>
      <w:pPr>
        <w:spacing w:after="120"/>
      </w:pPr>
      <w:hyperlink w:history="1" r:id="rIdbefc4j5mf7itxagxwfmct">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PSA Memorandum Circular No. 2019-15A (29 November 2022) - An authorization letter for civil-registry documents must state that its purpose is to secure civil-registry documents from PSA and name the document type; IDs of both the document owner and the representative are presented (checked 2026-10-01)</w:t>
      </w:r>
    </w:p>
    <w:p>
      <w:pPr>
        <w:spacing w:after="120"/>
      </w:pPr>
      <w:hyperlink w:history="1" r:id="rIdr8bmynmirpshsdh1yodnx">
        <w:r>
          <w:rPr>
            <w:rFonts w:ascii="Calibri" w:cs="Calibri" w:eastAsia="Calibri" w:hAnsi="Calibri"/>
            <w:color w:val="315B75"/>
            <w:sz w:val="17"/>
            <w:szCs w:val="17"/>
            <w:u w:val="single"/>
          </w:rPr>
          <w:t xml:space="preserve">https://web.archive.org/web/20260705173128/https://psa.gov.ph/system/files/nccrvs/MC%20NO.%202019-15A.pdf</w:t>
        </w:r>
      </w:hyperlink>
    </w:p>
    <w:p>
      <w:pPr>
        <w:keepNext/>
        <w:spacing w:after="60" w:before="100"/>
      </w:pPr>
      <w:r>
        <w:rPr>
          <w:rFonts w:ascii="Calibri" w:cs="Calibri" w:eastAsia="Calibri" w:hAnsi="Calibri"/>
          <w:b/>
          <w:bCs/>
          <w:sz w:val="18"/>
          <w:szCs w:val="18"/>
        </w:rPr>
        <w:t xml:space="preserve">Republic Act No. 10173 — Data Privacy Act of 2012 - Transparency, legitimate purpose, proportionality, security, lawful processing, data-subject rights, and accountability for personal information used or disclosed in the transaction (checked 2026-08-30)</w:t>
      </w:r>
    </w:p>
    <w:p>
      <w:pPr>
        <w:spacing w:after="120"/>
      </w:pPr>
      <w:hyperlink w:history="1" r:id="rIdivycmb62bt3wkr2slkbia">
        <w:r>
          <w:rPr>
            <w:rFonts w:ascii="Calibri" w:cs="Calibri" w:eastAsia="Calibri" w:hAnsi="Calibri"/>
            <w:color w:val="315B75"/>
            <w:sz w:val="17"/>
            <w:szCs w:val="17"/>
            <w:u w:val="single"/>
          </w:rPr>
          <w:t xml:space="preserve">https://privacy.gov.ph/data-privacy-act/</w:t>
        </w:r>
      </w:hyperlink>
    </w:p>
    <w:p>
      <w:pPr>
        <w:keepNext/>
        <w:spacing w:after="60" w:before="100"/>
      </w:pPr>
      <w:r>
        <w:rPr>
          <w:rFonts w:ascii="Calibri" w:cs="Calibri" w:eastAsia="Calibri" w:hAnsi="Calibri"/>
          <w:b/>
          <w:bCs/>
          <w:sz w:val="18"/>
          <w:szCs w:val="18"/>
        </w:rPr>
        <w:t xml:space="preserve">Republic Act No. 8792 — Electronic Commerce Act - Sections 6–8 and 27 on electronic documents and signatures, integrity and authentication, while preserving agency-specific format and acceptance requirements (checked 2026-08-30)</w:t>
      </w:r>
    </w:p>
    <w:p>
      <w:pPr>
        <w:spacing w:after="120"/>
      </w:pPr>
      <w:hyperlink w:history="1" r:id="rIdmdrhczidky1i7s9j6dl9o">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A.M. No. 01-7-01-SC — Rules on Electronic Evidence - Authentication and integrity of electronic documents and signatures used to prove the exact authorization and delivery record (checked 2026-08-30)</w:t>
      </w:r>
    </w:p>
    <w:p>
      <w:pPr>
        <w:spacing w:after="120"/>
      </w:pPr>
      <w:hyperlink w:history="1" r:id="rIdji8rk23fuaqv7jukrhacj">
        <w:r>
          <w:rPr>
            <w:rFonts w:ascii="Calibri" w:cs="Calibri" w:eastAsia="Calibri" w:hAnsi="Calibri"/>
            <w:color w:val="315B75"/>
            <w:sz w:val="17"/>
            <w:szCs w:val="17"/>
            <w:u w:val="single"/>
          </w:rPr>
          <w:t xml:space="preserve">https://lawphil.net/courts/supreme/am/am_01-7-01_sc_2001.html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v0.3.0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gq2b5jsyi4e0u_w4ver" Type="http://schemas.openxmlformats.org/officeDocument/2006/relationships/hyperlink" Target="https://lawphil.net/statutes/repacts/ra1949/ra_386_1949.html" TargetMode="External"/><Relationship Id="rIdisgm8ytnamwx1gtvhqflv" Type="http://schemas.openxmlformats.org/officeDocument/2006/relationships/hyperlink" Target="https://web.archive.org/web/20220402205705/https://bwc.dole.gov.ph/images/Downloads/2022_02_02_LaborCode_ofthe_Philippines_2022DOLE_edition.pdf" TargetMode="External"/><Relationship Id="rId7ov6vy-6onuybxyns6tqf" Type="http://schemas.openxmlformats.org/officeDocument/2006/relationships/hyperlink" Target="https://elibrary.judiciary.gov.ph/thebookshelf/showdocs/2/85819" TargetMode="External"/><Relationship Id="rIdbefc4j5mf7itxagxwfmct" Type="http://schemas.openxmlformats.org/officeDocument/2006/relationships/hyperlink" Target="https://sc.judiciary.gov.ph/wp-content/uploads/2022/08/02-08-13-SC-1.pdf" TargetMode="External"/><Relationship Id="rIdr8bmynmirpshsdh1yodnx" Type="http://schemas.openxmlformats.org/officeDocument/2006/relationships/hyperlink" Target="https://web.archive.org/web/20260705173128/https://psa.gov.ph/system/files/nccrvs/MC%20NO.%202019-15A.pdf" TargetMode="External"/><Relationship Id="rIdivycmb62bt3wkr2slkbia" Type="http://schemas.openxmlformats.org/officeDocument/2006/relationships/hyperlink" Target="https://privacy.gov.ph/data-privacy-act/" TargetMode="External"/><Relationship Id="rIdmdrhczidky1i7s9j6dl9o" Type="http://schemas.openxmlformats.org/officeDocument/2006/relationships/hyperlink" Target="https://lawphil.net/statutes/repacts/ra2000/ra_8792_2000.html" TargetMode="External"/><Relationship Id="rIdji8rk23fuaqv7jukrhacj" Type="http://schemas.openxmlformats.org/officeDocument/2006/relationships/hyperlink" Target="https://lawphil.net/courts/supreme/am/am_01-7-01_sc_2001.html"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AUTHORIZATION LETTER</dc:title>
  <dc:creator>LAW.PH</dc:creator>
  <dc:description>Free sample of the Authorization Letter from LAW.PH, with fictional details</dc:description>
  <cp:lastModifiedBy>Un-named</cp:lastModifiedBy>
  <cp:revision>1</cp:revision>
  <dcterms:created xsi:type="dcterms:W3CDTF">2026-10-02T05:29:58.143Z</dcterms:created>
  <dcterms:modified xsi:type="dcterms:W3CDTF">2026-10-02T05:29:58.143Z</dcterms:modified>
</cp:coreProperties>
</file>

<file path=docProps/custom.xml><?xml version="1.0" encoding="utf-8"?>
<Properties xmlns="http://schemas.openxmlformats.org/officeDocument/2006/custom-properties" xmlns:vt="http://schemas.openxmlformats.org/officeDocument/2006/docPropsVTypes"/>
</file>