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  <w:jc w:val="center"/>
      </w:pPr>
      <w:r>
        <w:rPr>
          <w:rFonts w:ascii="Calibri" w:cs="Calibri" w:eastAsia="Calibri" w:hAnsi="Calibri"/>
          <w:b/>
          <w:bCs/>
          <w:color w:val="B48735"/>
          <w:spacing w:val="100"/>
          <w:sz w:val="18"/>
          <w:szCs w:val="18"/>
        </w:rPr>
        <w:t xml:space="preserve">LAW.PH</w:t>
      </w:r>
    </w:p>
    <w:p>
      <w:pPr>
        <w:pStyle w:val="Title"/>
        <w:spacing w:after="100"/>
        <w:jc w:val="center"/>
      </w:pPr>
      <w:r>
        <w:rPr>
          <w:rFonts w:ascii="Calibri" w:cs="Calibri" w:eastAsia="Calibri" w:hAnsi="Calibri"/>
          <w:b/>
          <w:bCs/>
          <w:color w:val="102B3F"/>
          <w:sz w:val="30"/>
          <w:szCs w:val="30"/>
        </w:rPr>
        <w:t xml:space="preserve">CERTIFICATE OF EMPLOYMENT</w:t>
      </w:r>
    </w:p>
    <w:p>
      <w:pPr>
        <w:spacing w:after="160"/>
        <w:jc w:val="center"/>
      </w:pPr>
      <w:r>
        <w:rPr>
          <w:rFonts w:ascii="Calibri" w:cs="Calibri" w:eastAsia="Calibri" w:hAnsi="Calibri"/>
          <w:color w:val="566674"/>
          <w:sz w:val="18"/>
          <w:szCs w:val="18"/>
        </w:rPr>
        <w:t xml:space="preserve">Republic of the Philippines · basic statutory · Template v0.2.0</w:t>
      </w:r>
    </w:p>
    <w:p>
      <w:pPr>
        <w:shd w:fill="FFF8E8" w:val="clear"/>
        <w:spacing w:after="260" w:before="80"/>
        <w:jc w:val="center"/>
      </w:pPr>
      <w:r>
        <w:rPr>
          <w:rFonts w:ascii="Calibri" w:cs="Calibri" w:eastAsia="Calibri" w:hAnsi="Calibri"/>
          <w:b/>
          <w:bCs/>
          <w:color w:val="8A5A12"/>
          <w:sz w:val="16"/>
          <w:szCs w:val="16"/>
        </w:rPr>
        <w:t xml:space="preserve">FREE SAMPLE · Fictional names, dates, and amounts: replace every one before use · Engineering draft · independent Philippine labor-lawyer review pending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BAYANIHAN DIGITAL SERVICES, INC.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18/F One Ayala Tower, Makati City 1226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SEC Company Registration No. CS201812345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CERTIFICATE OF EMPLOYMENT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TO WHOM IT MAY CONCERN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This is to certify, based on the employer's verified employment records, that Juan Miguel Santos (employee no. EMP-1042) was employed by Bayanihan Digital Services, Inc. from March 15, 2021 through August 15, 2026.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Juan Miguel Santos served in the position of Senior Customer Support Specialist under Customer Experience. The type or types of work actually performed were: Handled customer inquiries and escalations, documented resolutions, maintained service records, and supported quality and process-improvement activities.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This Certificate is issued on September 1, 2026 at Makati City, Philippines, upon the employee's request for the employee's general lawful employment-record purpose.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The basic service certification is independent of clearance, company-property return, final pay, waiver, settlement, or another pending matter. Silence about compensation, separation, performance, clearance, or claims means only that the subject is outside this certificate; it is not an adverse statement.</w:t>
      </w:r>
    </w:p>
    <w:p>
      <w:pPr>
        <w:keepLines/>
        <w:spacing w:after="120" w:line="26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Authenticity may be verified only through the official employer channel: Email records@bayanihan.example and quote certificate control no. COE-2026-1042.</w:t>
      </w:r>
    </w:p>
    <w:p>
      <w:pPr>
        <w:keepNext/>
        <w:spacing w:after="260" w:before="3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ISSUED AND CERTIFIED by the employer's authorized records representative: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type="dxa" w:w="100"/>
              <w:left w:type="dxa" w:w="0"/>
              <w:bottom w:type="dxa" w:w="160"/>
              <w:right w:type="dxa" w:w="240"/>
            </w:tcMar>
          </w:tcPr>
          <w:p>
            <w:pPr>
              <w:spacing w:after="50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Andrea M. Reyes</w:t>
            </w:r>
          </w:p>
          <w:p>
            <w:pPr>
              <w:spacing w:after="12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Signature: ______________________________</w:t>
            </w:r>
          </w:p>
          <w:p>
            <w:pPr>
              <w:spacing w:after="12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People Operations Director · for Bayanihan Digital Services, Inc.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Date: ______________________________</w:t>
            </w:r>
          </w:p>
        </w:tc>
        <w:tc>
          <w:tcPr>
            <w:tcW w:type="dxa" w:w="4680"/>
            <w:tcMar>
              <w:top w:type="dxa" w:w="100"/>
              <w:left w:type="dxa" w:w="0"/>
              <w:bottom w:type="dxa" w:w="160"/>
              <w:right w:type="dxa" w:w="240"/>
            </w:tcMar>
          </w:tcPr>
          <w:p>
            <w:pPr>
              <w:spacing w:after="50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/>
            </w:r>
          </w:p>
          <w:p>
            <w:pPr>
              <w:spacing w:after="12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spacing w:after="12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keepNext/>
        <w:pageBreakBefore/>
        <w:spacing w:after="140"/>
      </w:pPr>
      <w:r>
        <w:rPr>
          <w:rFonts w:ascii="Calibri" w:cs="Calibri" w:eastAsia="Calibri" w:hAnsi="Calibri"/>
          <w:b/>
          <w:bCs/>
          <w:color w:val="102B3F"/>
          <w:sz w:val="26"/>
          <w:szCs w:val="26"/>
        </w:rPr>
        <w:t xml:space="preserve">LAW.PH PRE-SIGNING GUIDANCE — NOT PART OF THE EXECUTION INSTRUMENT</w:t>
      </w:r>
    </w:p>
    <w:p>
      <w:pPr>
        <w:keepNext/>
        <w:spacing w:after="220" w:line="252"/>
      </w:pPr>
      <w:r>
        <w:rPr>
          <w:rFonts w:ascii="Calibri" w:cs="Calibri" w:eastAsia="Calibri" w:hAnsi="Calibri"/>
          <w:b/>
          <w:bCs/>
          <w:color w:val="8A5A12"/>
          <w:sz w:val="20"/>
          <w:szCs w:val="20"/>
        </w:rPr>
        <w:t xml:space="preserve">The draft instrument ends before this page. The checklist and legal-source record that follow are preparation guidance only: they are not promises, recitals, schedules, annexes, exhibits, attestations, acknowledgments, jurats, or other operative parts of the instrument, and they must not be included in its execution page count.</w:t>
      </w:r>
    </w:p>
    <w:p>
      <w:pPr>
        <w:pStyle w:val="Heading2"/>
        <w:keepNext/>
        <w:spacing w:after="140" w:before="120"/>
      </w:pPr>
      <w:r>
        <w:rPr>
          <w:rFonts w:ascii="Calibri" w:cs="Calibri" w:eastAsia="Calibri" w:hAnsi="Calibri"/>
          <w:b/>
          <w:bCs/>
          <w:color w:val="102B3F"/>
          <w:sz w:val="26"/>
          <w:szCs w:val="26"/>
        </w:rPr>
        <w:t xml:space="preserve">PRE-SIGNING CHECKLIST</w:t>
      </w:r>
    </w:p>
    <w:p>
      <w:pPr>
        <w:pStyle w:val="ListParagraph"/>
        <w:keepNext/>
        <w:numPr>
          <w:ilvl w:val="0"/>
          <w:numId w:val="1"/>
        </w:numPr>
        <w:spacing w:after="120" w:line="264"/>
      </w:pPr>
      <w:r>
        <w:rPr>
          <w:rFonts w:ascii="Calibri" w:cs="Calibri" w:eastAsia="Calibri" w:hAnsi="Calibri"/>
          <w:sz w:val="22"/>
          <w:szCs w:val="22"/>
        </w:rPr>
        <w:t xml:space="preserve">Release the signed certificate no later than September 1, 2026, within three calendar days from the recorded August 30, 2026 request. Preserve the request, issue date, delivery, and any authorized-representative record.</w:t>
      </w:r>
    </w:p>
    <w:p>
      <w:pPr>
        <w:pStyle w:val="ListParagraph"/>
        <w:keepNext/>
        <w:numPr>
          <w:ilvl w:val="0"/>
          <w:numId w:val="1"/>
        </w:numPr>
        <w:spacing w:after="120" w:line="264"/>
      </w:pPr>
      <w:r>
        <w:rPr>
          <w:rFonts w:ascii="Calibri" w:cs="Calibri" w:eastAsia="Calibri" w:hAnsi="Calibri"/>
          <w:sz w:val="22"/>
          <w:szCs w:val="22"/>
        </w:rPr>
        <w:t xml:space="preserve">Reconcile the employee's complete legal name, start date, current/former status, final date if separated, position, department/project, work type, assignment history, and any break in service against authoritative HR, payroll, engagement, movement, and separation records.</w:t>
      </w:r>
    </w:p>
    <w:p>
      <w:pPr>
        <w:pStyle w:val="ListParagraph"/>
        <w:keepNext/>
        <w:numPr>
          <w:ilvl w:val="0"/>
          <w:numId w:val="1"/>
        </w:numPr>
        <w:spacing w:after="120" w:line="264"/>
      </w:pPr>
      <w:r>
        <w:rPr>
          <w:rFonts w:ascii="Calibri" w:cs="Calibri" w:eastAsia="Calibri" w:hAnsi="Calibri"/>
          <w:sz w:val="22"/>
          <w:szCs w:val="22"/>
        </w:rPr>
        <w:t xml:space="preserve">Because DOLE Labor Advisory No. 06-20 requires issuance within three days of the request without exception, do not make the certificate wait for clearance, property return, final pay, a waiver, a settlement, or a pending dispute. Handle those matters separately and never add an adverse insinuation because the certificate was requested.</w:t>
      </w:r>
    </w:p>
    <w:p>
      <w:pPr>
        <w:pStyle w:val="ListParagraph"/>
        <w:keepNext/>
        <w:numPr>
          <w:ilvl w:val="0"/>
          <w:numId w:val="1"/>
        </w:numPr>
        <w:spacing w:after="120" w:line="264"/>
      </w:pPr>
      <w:r>
        <w:rPr>
          <w:rFonts w:ascii="Calibri" w:cs="Calibri" w:eastAsia="Calibri" w:hAnsi="Calibri"/>
          <w:sz w:val="22"/>
          <w:szCs w:val="22"/>
        </w:rPr>
        <w:t xml:space="preserve">Do not disclose compensation in the certificate or a later verification unless a lawful basis and proportionate employee-authorized purpose have been established.</w:t>
      </w:r>
    </w:p>
    <w:p>
      <w:pPr>
        <w:pStyle w:val="ListParagraph"/>
        <w:keepNext/>
        <w:numPr>
          <w:ilvl w:val="0"/>
          <w:numId w:val="1"/>
        </w:numPr>
        <w:spacing w:after="120" w:line="264"/>
      </w:pPr>
      <w:r>
        <w:rPr>
          <w:rFonts w:ascii="Calibri" w:cs="Calibri" w:eastAsia="Calibri" w:hAnsi="Calibri"/>
          <w:sz w:val="22"/>
          <w:szCs w:val="22"/>
        </w:rPr>
        <w:t xml:space="preserve">Do not volunteer a separation reason, disciplinary history, pending case, eligibility-for-rehire opinion, or performance information in this basic certificate.</w:t>
      </w:r>
    </w:p>
    <w:p>
      <w:pPr>
        <w:pStyle w:val="ListParagraph"/>
        <w:keepNext/>
        <w:numPr>
          <w:ilvl w:val="0"/>
          <w:numId w:val="1"/>
        </w:numPr>
        <w:spacing w:after="120" w:line="264"/>
      </w:pPr>
      <w:r>
        <w:rPr>
          <w:rFonts w:ascii="Calibri" w:cs="Calibri" w:eastAsia="Calibri" w:hAnsi="Calibri"/>
          <w:sz w:val="22"/>
          <w:szCs w:val="22"/>
        </w:rPr>
        <w:t xml:space="preserve">Confirm whether the recipient accepts the selected signature mode and ordinary employer-issued format; notarization is not added merely for appearance.</w:t>
      </w:r>
    </w:p>
    <w:p>
      <w:pPr>
        <w:pStyle w:val="ListParagraph"/>
        <w:keepNext/>
        <w:numPr>
          <w:ilvl w:val="0"/>
          <w:numId w:val="1"/>
        </w:numPr>
        <w:spacing w:after="120" w:line="264"/>
      </w:pPr>
      <w:r>
        <w:rPr>
          <w:rFonts w:ascii="Calibri" w:cs="Calibri" w:eastAsia="Calibri" w:hAnsi="Calibri"/>
          <w:sz w:val="22"/>
          <w:szCs w:val="22"/>
        </w:rPr>
        <w:t xml:space="preserve">Create 2 controlled signed originals. Deliver only to the employee or documented authorized recipient through a secure channel and retain a record of release without unnecessarily copying identity documents.</w:t>
      </w:r>
    </w:p>
    <w:p>
      <w:pPr>
        <w:pStyle w:val="ListParagraph"/>
        <w:keepNext w:val="false"/>
        <w:numPr>
          <w:ilvl w:val="0"/>
          <w:numId w:val="1"/>
        </w:numPr>
        <w:spacing w:after="120" w:line="264"/>
      </w:pPr>
      <w:r>
        <w:rPr>
          <w:rFonts w:ascii="Calibri" w:cs="Calibri" w:eastAsia="Calibri" w:hAnsi="Calibri"/>
          <w:sz w:val="22"/>
          <w:szCs w:val="22"/>
        </w:rPr>
        <w:t xml:space="preserve">Limit later verification to certificate authenticity and the minimum lawful employment facts. Authenticate the requester and purpose when additional data is sought; do not expose the employee's 201 file, compensation, discipline, health, loan, family, or government-identifier data through email, QR code, or a public portal.</w:t>
      </w:r>
    </w:p>
    <w:p>
      <w:pPr>
        <w:pStyle w:val="Heading2"/>
        <w:keepNext/>
        <w:pageBreakBefore/>
        <w:spacing w:after="140"/>
      </w:pPr>
      <w:r>
        <w:rPr>
          <w:rFonts w:ascii="Calibri" w:cs="Calibri" w:eastAsia="Calibri" w:hAnsi="Calibri"/>
          <w:b/>
          <w:bCs/>
          <w:color w:val="102B3F"/>
          <w:sz w:val="26"/>
          <w:szCs w:val="26"/>
        </w:rPr>
        <w:t xml:space="preserve">TEMPLATE AND LEGAL SOURCE RECORD — NOT PART OF THE INSTRUMENT</w:t>
      </w:r>
    </w:p>
    <w:p>
      <w:pPr>
        <w:spacing w:after="220" w:line="240"/>
      </w:pPr>
      <w:r>
        <w:rPr>
          <w:rFonts w:ascii="Calibri" w:cs="Calibri" w:eastAsia="Calibri" w:hAnsi="Calibri"/>
          <w:color w:val="566674"/>
          <w:sz w:val="18"/>
          <w:szCs w:val="18"/>
        </w:rPr>
        <w:t xml:space="preserve">Template v0.2.0 | Republic of the Philippines — private-sector employment | Effective 2026-08-30 onward, subject to the recorded review cycle | Engineering draft · independent Philippine labor-lawyer review pending | Last legal check 2026-10-01 | Next review due 2026-11-30</w:t>
      </w:r>
    </w:p>
    <w:p>
      <w:pPr>
        <w:keepNext/>
        <w:spacing w:after="60" w:before="100"/>
      </w:pPr>
      <w:r>
        <w:rPr>
          <w:rFonts w:ascii="Calibri" w:cs="Calibri" w:eastAsia="Calibri" w:hAnsi="Calibri"/>
          <w:b/>
          <w:bCs/>
          <w:sz w:val="18"/>
          <w:szCs w:val="18"/>
        </w:rPr>
        <w:t xml:space="preserve">Labor Advisory No. 06-20 — Guidelines on Final Pay and Certificate of Employment - Part I(1): a current employee may also request a certificate; Part III: issuance within three days from the employee's request; Part IV: non-compliance goes to the DOLE office for conciliation and enforcement (checked 2026-10-01)</w:t>
      </w:r>
    </w:p>
    <w:p>
      <w:pPr>
        <w:spacing w:after="120"/>
      </w:pPr>
      <w:hyperlink w:history="1" r:id="rIdecz3iw-brsa7uxhgqfce_">
        <w:r>
          <w:rPr>
            <w:rFonts w:ascii="Calibri" w:cs="Calibri" w:eastAsia="Calibri" w:hAnsi="Calibri"/>
            <w:color w:val="315B75"/>
            <w:sz w:val="17"/>
            <w:szCs w:val="17"/>
            <w:u w:val="single"/>
          </w:rPr>
          <w:t xml:space="preserve">https://web.archive.org/web/20210926103531/https://www.dole.gov.ph/php_assets/uploads/2020/02/Labor-Advisory-No.-06-20-Guidelines-on-the-Payment-of-Final-Pay-and-Issuance-of-Certificate-of-Emplo.pdf</w:t>
        </w:r>
      </w:hyperlink>
    </w:p>
    <w:p>
      <w:pPr>
        <w:keepNext/>
        <w:spacing w:after="60" w:before="100"/>
      </w:pPr>
      <w:r>
        <w:rPr>
          <w:rFonts w:ascii="Calibri" w:cs="Calibri" w:eastAsia="Calibri" w:hAnsi="Calibri"/>
          <w:b/>
          <w:bCs/>
          <w:sz w:val="18"/>
          <w:szCs w:val="18"/>
        </w:rPr>
        <w:t xml:space="preserve">2004 Rules on Notarial Practice (A.M. No. 02-8-13-SC) - Rule II, Sec. 1(c): in an acknowledgment, a signer acting in a representative capacity represents that he or she has the authority to sign in that capacity; competent evidence of identity (checked 2026-10-01)</w:t>
      </w:r>
    </w:p>
    <w:p>
      <w:pPr>
        <w:spacing w:after="120"/>
      </w:pPr>
      <w:hyperlink w:history="1" r:id="rIdflzcnjkzqqfd29u7c0yah">
        <w:r>
          <w:rPr>
            <w:rFonts w:ascii="Calibri" w:cs="Calibri" w:eastAsia="Calibri" w:hAnsi="Calibri"/>
            <w:color w:val="315B75"/>
            <w:sz w:val="17"/>
            <w:szCs w:val="17"/>
            <w:u w:val="single"/>
          </w:rPr>
          <w:t xml:space="preserve">https://sc.judiciary.gov.ph/wp-content/uploads/2022/08/02-08-13-SC-1.pdf</w:t>
        </w:r>
      </w:hyperlink>
    </w:p>
    <w:p>
      <w:pPr>
        <w:keepNext/>
        <w:spacing w:after="60" w:before="100"/>
      </w:pPr>
      <w:r>
        <w:rPr>
          <w:rFonts w:ascii="Calibri" w:cs="Calibri" w:eastAsia="Calibri" w:hAnsi="Calibri"/>
          <w:b/>
          <w:bCs/>
          <w:sz w:val="18"/>
          <w:szCs w:val="18"/>
        </w:rPr>
        <w:t xml:space="preserve">DOLE Department Order No. 09, Series of 1997 - Rule XXIII, Section 6 — certification of engagement and termination dates and type or types of work (checked 2026-08-30)</w:t>
      </w:r>
    </w:p>
    <w:p>
      <w:pPr>
        <w:spacing w:after="120"/>
      </w:pPr>
      <w:hyperlink w:history="1" r:id="rIdfiw4ba1rwgpifndsbp2hj">
        <w:r>
          <w:rPr>
            <w:rFonts w:ascii="Calibri" w:cs="Calibri" w:eastAsia="Calibri" w:hAnsi="Calibri"/>
            <w:color w:val="315B75"/>
            <w:sz w:val="17"/>
            <w:szCs w:val="17"/>
            <w:u w:val="single"/>
          </w:rPr>
          <w:t xml:space="preserve">https://elibrary.judiciary.gov.ph/thebookshelf/showdocs/10/40878</w:t>
        </w:r>
      </w:hyperlink>
    </w:p>
    <w:p>
      <w:pPr>
        <w:keepNext/>
        <w:spacing w:after="60" w:before="100"/>
      </w:pPr>
      <w:r>
        <w:rPr>
          <w:rFonts w:ascii="Calibri" w:cs="Calibri" w:eastAsia="Calibri" w:hAnsi="Calibri"/>
          <w:b/>
          <w:bCs/>
          <w:sz w:val="18"/>
          <w:szCs w:val="18"/>
        </w:rPr>
        <w:t xml:space="preserve">Republic Act No. 10173 — Data Privacy Act of 2012 - Sections 11–13, 16, and 20 — transparency, legitimate purpose, proportionality, rights, lawful processing, and security (checked 2026-08-30)</w:t>
      </w:r>
    </w:p>
    <w:p>
      <w:pPr>
        <w:spacing w:after="120"/>
      </w:pPr>
      <w:hyperlink w:history="1" r:id="rIdinqr4rtinglfz1fddwivw">
        <w:r>
          <w:rPr>
            <w:rFonts w:ascii="Calibri" w:cs="Calibri" w:eastAsia="Calibri" w:hAnsi="Calibri"/>
            <w:color w:val="315B75"/>
            <w:sz w:val="17"/>
            <w:szCs w:val="17"/>
            <w:u w:val="single"/>
          </w:rPr>
          <w:t xml:space="preserve">https://privacy.gov.ph/data-privacy-act/</w:t>
        </w:r>
      </w:hyperlink>
    </w:p>
    <w:p>
      <w:pPr>
        <w:keepNext/>
        <w:spacing w:after="60" w:before="100"/>
      </w:pPr>
      <w:r>
        <w:rPr>
          <w:rFonts w:ascii="Calibri" w:cs="Calibri" w:eastAsia="Calibri" w:hAnsi="Calibri"/>
          <w:b/>
          <w:bCs/>
          <w:sz w:val="18"/>
          <w:szCs w:val="18"/>
        </w:rPr>
        <w:t xml:space="preserve">NPC 2020–2021 Compendium — employment-status confirmation guidance - Truthful, good-faith, legitimate-interest verification limited to proportionate employment facts (checked 2026-08-30)</w:t>
      </w:r>
    </w:p>
    <w:p>
      <w:pPr>
        <w:spacing w:after="120"/>
      </w:pPr>
      <w:hyperlink w:history="1" r:id="rId704u2-q0gb6vuixdlpgku">
        <w:r>
          <w:rPr>
            <w:rFonts w:ascii="Calibri" w:cs="Calibri" w:eastAsia="Calibri" w:hAnsi="Calibri"/>
            <w:color w:val="315B75"/>
            <w:sz w:val="17"/>
            <w:szCs w:val="17"/>
            <w:u w:val="single"/>
          </w:rPr>
          <w:t xml:space="preserve">https://privacy.gov.ph/wp-content/uploads/2023/05/2020_2021_COMPENDIUM.pdf</w:t>
        </w:r>
      </w:hyperlink>
    </w:p>
    <w:p>
      <w:pPr>
        <w:keepNext/>
        <w:spacing w:after="60" w:before="100"/>
      </w:pPr>
      <w:r>
        <w:rPr>
          <w:rFonts w:ascii="Calibri" w:cs="Calibri" w:eastAsia="Calibri" w:hAnsi="Calibri"/>
          <w:b/>
          <w:bCs/>
          <w:sz w:val="18"/>
          <w:szCs w:val="18"/>
        </w:rPr>
        <w:t xml:space="preserve">Republic Act No. 8792 — Electronic Commerce Act - Legal recognition of electronic documents and signatures subject to reliability and applicable recipient requirements (checked 2026-08-30)</w:t>
      </w:r>
    </w:p>
    <w:p>
      <w:pPr>
        <w:spacing w:after="120"/>
      </w:pPr>
      <w:hyperlink w:history="1" r:id="rId2outmic2vj7f_2vuolamb">
        <w:r>
          <w:rPr>
            <w:rFonts w:ascii="Calibri" w:cs="Calibri" w:eastAsia="Calibri" w:hAnsi="Calibri"/>
            <w:color w:val="315B75"/>
            <w:sz w:val="17"/>
            <w:szCs w:val="17"/>
            <w:u w:val="single"/>
          </w:rPr>
          <w:t xml:space="preserve">https://lawphil.net/statutes/repacts/ra2000/ra_8792_2000.html</w:t>
        </w:r>
      </w:hyperlink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87783"/>
        <w:sz w:val="16"/>
        <w:szCs w:val="16"/>
      </w:rPr>
      <w:t xml:space="preserve">LAW.PH · Template v0.2.0 · REVIEW PENDING · Page </w:t>
    </w:r>
    <w:r>
      <w:rPr>
        <w:color w:val="687783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Calibri" w:cs="Calibri" w:eastAsia="Calibri" w:hAnsi="Calibri"/>
      <w:b/>
      <w:bCs/>
      <w:color w:val="102B3F"/>
      <w:sz w:val="30"/>
      <w:szCs w:val="3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z3iw-brsa7uxhgqfce_" Type="http://schemas.openxmlformats.org/officeDocument/2006/relationships/hyperlink" Target="https://web.archive.org/web/20210926103531/https://www.dole.gov.ph/php_assets/uploads/2020/02/Labor-Advisory-No.-06-20-Guidelines-on-the-Payment-of-Final-Pay-and-Issuance-of-Certificate-of-Emplo.pdf" TargetMode="External"/><Relationship Id="rIdflzcnjkzqqfd29u7c0yah" Type="http://schemas.openxmlformats.org/officeDocument/2006/relationships/hyperlink" Target="https://sc.judiciary.gov.ph/wp-content/uploads/2022/08/02-08-13-SC-1.pdf" TargetMode="External"/><Relationship Id="rIdfiw4ba1rwgpifndsbp2hj" Type="http://schemas.openxmlformats.org/officeDocument/2006/relationships/hyperlink" Target="https://elibrary.judiciary.gov.ph/thebookshelf/showdocs/10/40878" TargetMode="External"/><Relationship Id="rIdinqr4rtinglfz1fddwivw" Type="http://schemas.openxmlformats.org/officeDocument/2006/relationships/hyperlink" Target="https://privacy.gov.ph/data-privacy-act/" TargetMode="External"/><Relationship Id="rId704u2-q0gb6vuixdlpgku" Type="http://schemas.openxmlformats.org/officeDocument/2006/relationships/hyperlink" Target="https://privacy.gov.ph/wp-content/uploads/2023/05/2020_2021_COMPENDIUM.pdf" TargetMode="External"/><Relationship Id="rId2outmic2vj7f_2vuolamb" Type="http://schemas.openxmlformats.org/officeDocument/2006/relationships/hyperlink" Target="https://lawphil.net/statutes/repacts/ra2000/ra_8792_2000.html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Employment</dc:title>
  <dc:creator>LAW.PH</dc:creator>
  <dc:description>Free sample of the Certificate of Employment from LAW.PH, with fictional details</dc:description>
  <cp:lastModifiedBy>Un-named</cp:lastModifiedBy>
  <cp:revision>1</cp:revision>
  <dcterms:created xsi:type="dcterms:W3CDTF">2026-10-02T05:29:56.908Z</dcterms:created>
  <dcterms:modified xsi:type="dcterms:W3CDTF">2026-10-02T05:29:56.908Z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