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AFFIDAVIT OF SUPPORT, CONSENT, AND PARENTAL AUTHORIZATION FOR MINOR TRAVEL</w:t>
      </w:r>
    </w:p>
    <w:p>
      <w:pPr>
        <w:spacing w:after="160"/>
        <w:jc w:val="center"/>
      </w:pPr>
      <w:r>
        <w:rPr>
          <w:rFonts w:ascii="Calibri" w:cs="Calibri" w:eastAsia="Calibri" w:hAnsi="Calibri"/>
          <w:color w:val="566674"/>
          <w:sz w:val="18"/>
          <w:szCs w:val="18"/>
        </w:rPr>
        <w:t xml:space="preserve">Republic of the Philippines · travel clearance required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family-lawyer review pending</w:t>
      </w:r>
    </w:p>
    <w:p>
      <w:pPr>
        <w:keepLines/>
        <w:spacing w:after="120" w:line="264"/>
        <w:jc w:val="both"/>
      </w:pPr>
      <w:r>
        <w:rPr>
          <w:rFonts w:ascii="Calibri" w:cs="Calibri" w:eastAsia="Calibri" w:hAnsi="Calibri"/>
          <w:sz w:val="22"/>
          <w:szCs w:val="22"/>
        </w:rPr>
        <w:t xml:space="preserve">We/I, Maria Elena Santos and Jose Miguel Santos, after being duly sworn in the accepted manner, state from personal knowledge that the following facts and authorizations are true, complete, and specific to this travel.</w:t>
      </w:r>
    </w:p>
    <w:p>
      <w:pPr>
        <w:pStyle w:val="Heading2"/>
        <w:keepNext/>
        <w:spacing w:after="120" w:before="240"/>
      </w:pPr>
      <w:r>
        <w:rPr>
          <w:rFonts w:ascii="Calibri" w:cs="Calibri" w:eastAsia="Calibri" w:hAnsi="Calibri"/>
          <w:b/>
          <w:bCs/>
          <w:color w:val="102B3F"/>
          <w:sz w:val="26"/>
          <w:szCs w:val="26"/>
        </w:rPr>
        <w:t xml:space="preserve">1. CHILD AND PARENTAL AUTHORITY</w:t>
      </w:r>
    </w:p>
    <w:p>
      <w:pPr>
        <w:keepLines/>
        <w:spacing w:after="120" w:line="264"/>
        <w:jc w:val="both"/>
      </w:pPr>
      <w:r>
        <w:rPr>
          <w:rFonts w:ascii="Calibri" w:cs="Calibri" w:eastAsia="Calibri" w:hAnsi="Calibri"/>
          <w:sz w:val="22"/>
          <w:szCs w:val="22"/>
        </w:rPr>
        <w:t xml:space="preserve">Sofia Isabel Santos, born on May 12, 2014 in Quezon City, Philippines, is a Filipino child residing at 24 Sampaguita Street, Quezon City 1103. Civil-status record used: PSA-issued QR-coded Certificate of Live Birth, verified against the passport application record. Passport: P1234567A, stated expiry May 11, 2030.</w:t>
      </w:r>
    </w:p>
    <w:p>
      <w:pPr>
        <w:keepLines/>
        <w:spacing w:after="120" w:line="264"/>
        <w:jc w:val="both"/>
      </w:pPr>
      <w:r>
        <w:rPr>
          <w:rFonts w:ascii="Calibri" w:cs="Calibri" w:eastAsia="Calibri" w:hAnsi="Calibri"/>
          <w:sz w:val="22"/>
          <w:szCs w:val="22"/>
        </w:rPr>
        <w:t xml:space="preserve">The documented status is marital child. The authority route is joint married parents. First consenter: Maria Elena Santos, mother, authority evidence: PSA-issued QR-coded marriage certificate and Sofia's PSA-issued QR-coded Certificate of Live Birth. Second consenter: Jose Miguel Santos, father, authority evidence: PSA-issued QR-coded marriage certificate and Sofia's PSA-issued QR-coded Certificate of Live Birth.</w:t>
      </w:r>
    </w:p>
    <w:p>
      <w:pPr>
        <w:keepLines/>
        <w:spacing w:after="120" w:line="264"/>
        <w:jc w:val="both"/>
      </w:pPr>
      <w:r>
        <w:rPr>
          <w:rFonts w:ascii="Calibri" w:cs="Calibri" w:eastAsia="Calibri" w:hAnsi="Calibri"/>
          <w:sz w:val="22"/>
          <w:szCs w:val="22"/>
        </w:rPr>
        <w:t xml:space="preserve">No unresolved custody objection, conflicting parental-authority claim, protection order, hold-departure order, travel restriction, or contrary court direction is known to the consenting affiant(s).</w:t>
      </w:r>
    </w:p>
    <w:p>
      <w:pPr>
        <w:keepLines/>
        <w:spacing w:after="120" w:line="264"/>
        <w:jc w:val="both"/>
      </w:pPr>
      <w:r>
        <w:rPr>
          <w:rFonts w:ascii="Calibri" w:cs="Calibri" w:eastAsia="Calibri" w:hAnsi="Calibri"/>
          <w:sz w:val="22"/>
          <w:szCs w:val="22"/>
        </w:rPr>
        <w:t xml:space="preserve">The child's views were discussed in an age-appropriate way: Sofia discussed the itinerary, her aunt's supervision, daily calls with her parents, emergency contacts, and return date and expressed that she understands and wishes to join the family visit.</w:t>
      </w:r>
    </w:p>
    <w:p>
      <w:pPr>
        <w:pStyle w:val="Heading2"/>
        <w:keepNext/>
        <w:spacing w:after="120" w:before="240"/>
      </w:pPr>
      <w:r>
        <w:rPr>
          <w:rFonts w:ascii="Calibri" w:cs="Calibri" w:eastAsia="Calibri" w:hAnsi="Calibri"/>
          <w:b/>
          <w:bCs/>
          <w:color w:val="102B3F"/>
          <w:sz w:val="26"/>
          <w:szCs w:val="26"/>
        </w:rPr>
        <w:t xml:space="preserve">2. SPECIFIC TRAVEL CONSENT</w:t>
      </w:r>
    </w:p>
    <w:p>
      <w:pPr>
        <w:keepLines/>
        <w:spacing w:after="120" w:line="264"/>
        <w:jc w:val="both"/>
      </w:pPr>
      <w:r>
        <w:rPr>
          <w:rFonts w:ascii="Calibri" w:cs="Calibri" w:eastAsia="Calibri" w:hAnsi="Calibri"/>
          <w:sz w:val="22"/>
          <w:szCs w:val="22"/>
        </w:rPr>
        <w:t xml:space="preserve">The affiant(s) freely and specifically consent for Sofia Isabel Santos to travel to Japan, including Tokyo and Yokohama, including Sakura Hotel, 2-8-4 Ueno, Taito City, Tokyo, and the host's residence listed in the attached invitation, from October 15, 2026 through October 25, 2026, accompanied only by Ana Lucia Reyes, the child's Maternal aunt.</w:t>
      </w:r>
    </w:p>
    <w:p>
      <w:pPr>
        <w:keepLines/>
        <w:spacing w:after="120" w:line="264"/>
        <w:jc w:val="both"/>
      </w:pPr>
      <w:r>
        <w:rPr>
          <w:rFonts w:ascii="Calibri" w:cs="Calibri" w:eastAsia="Calibri" w:hAnsi="Calibri"/>
          <w:sz w:val="22"/>
          <w:szCs w:val="22"/>
        </w:rPr>
        <w:t xml:space="preserve">Legitimate purpose: family visit. Temporary family visit and tourism with the child's maternal aunt, supported by the aunt's signed invitation and the attached day-by-day itinerary.</w:t>
      </w:r>
    </w:p>
    <w:p>
      <w:pPr>
        <w:keepLines/>
        <w:spacing w:after="120" w:line="264"/>
        <w:jc w:val="both"/>
      </w:pPr>
      <w:r>
        <w:rPr>
          <w:rFonts w:ascii="Calibri" w:cs="Calibri" w:eastAsia="Calibri" w:hAnsi="Calibri"/>
          <w:sz w:val="22"/>
          <w:szCs w:val="22"/>
        </w:rPr>
        <w:t xml:space="preserve">Itinerary and transport: Manila–Tokyo flight PR 428 on 15 October 2026; Tokyo and Yokohama local travel under the companion's supervision; Tokyo–Manila flight PR 427 on 25 October 2026; no unlisted transit country.</w:t>
      </w:r>
    </w:p>
    <w:p>
      <w:pPr>
        <w:keepLines/>
        <w:spacing w:after="120" w:line="264"/>
        <w:jc w:val="both"/>
      </w:pPr>
      <w:r>
        <w:rPr>
          <w:rFonts w:ascii="Calibri" w:cs="Calibri" w:eastAsia="Calibri" w:hAnsi="Calibri"/>
          <w:sz w:val="22"/>
          <w:szCs w:val="22"/>
        </w:rPr>
        <w:t xml:space="preserve">Lodging and host: Sakura Hotel, 2-8-4 Ueno, Taito City, Tokyo, then two nights with host Keiko D. Reyes at the address and telephone number shown in the attached invitation.</w:t>
      </w:r>
    </w:p>
    <w:p>
      <w:pPr>
        <w:keepLines/>
        <w:spacing w:after="120" w:line="264"/>
        <w:jc w:val="both"/>
      </w:pPr>
      <w:r>
        <w:rPr>
          <w:rFonts w:ascii="Calibri" w:cs="Calibri" w:eastAsia="Calibri" w:hAnsi="Calibri"/>
          <w:sz w:val="22"/>
          <w:szCs w:val="22"/>
        </w:rPr>
        <w:t xml:space="preserve">This consent is limited to the identified child, trip, destination, purpose, period, and companion. It does not authorize a different destination, companion, purpose, permanent relocation, unauthorized employment, adoption, custody transfer, or extension beyond a lawful documented change accepted by the relevant authorities.</w:t>
      </w:r>
    </w:p>
    <w:p>
      <w:pPr>
        <w:pStyle w:val="Heading2"/>
        <w:keepNext/>
        <w:spacing w:after="120" w:before="240"/>
      </w:pPr>
      <w:r>
        <w:rPr>
          <w:rFonts w:ascii="Calibri" w:cs="Calibri" w:eastAsia="Calibri" w:hAnsi="Calibri"/>
          <w:b/>
          <w:bCs/>
          <w:color w:val="102B3F"/>
          <w:sz w:val="26"/>
          <w:szCs w:val="26"/>
        </w:rPr>
        <w:t xml:space="preserve">3. OFFICIAL ROUTE AND LIMITS</w:t>
      </w:r>
    </w:p>
    <w:p>
      <w:pPr>
        <w:keepLines/>
        <w:spacing w:after="120" w:line="264"/>
        <w:jc w:val="both"/>
      </w:pPr>
      <w:r>
        <w:rPr>
          <w:rFonts w:ascii="Calibri" w:cs="Calibri" w:eastAsia="Calibri" w:hAnsi="Calibri"/>
          <w:sz w:val="22"/>
          <w:szCs w:val="22"/>
        </w:rPr>
        <w:t xml:space="preserve">Current route identified by the interview: DSWD Travel Clearance Certificate route. This private affidavit and consent is supporting evidence only. It is not a DSWD Travel Clearance Certificate, Certificate of Exemption, NACC/RACCO consent, passport, visa, airline acceptance, immigration clearance, custody order, or guarantee of departure or entry.</w:t>
      </w:r>
    </w:p>
    <w:p>
      <w:pPr>
        <w:keepLines/>
        <w:spacing w:after="120" w:line="264"/>
        <w:jc w:val="both"/>
      </w:pPr>
      <w:r>
        <w:rPr>
          <w:rFonts w:ascii="Calibri" w:cs="Calibri" w:eastAsia="Calibri" w:hAnsi="Calibri"/>
          <w:sz w:val="22"/>
          <w:szCs w:val="22"/>
        </w:rPr>
        <w:t xml:space="preserve">No foreign-resident-status exemption is claimed in this document.</w:t>
      </w:r>
    </w:p>
    <w:p>
      <w:pPr>
        <w:keepLines/>
        <w:spacing w:after="120" w:line="264"/>
        <w:jc w:val="both"/>
      </w:pPr>
      <w:r>
        <w:rPr>
          <w:rFonts w:ascii="Calibri" w:cs="Calibri" w:eastAsia="Calibri" w:hAnsi="Calibri"/>
          <w:sz w:val="22"/>
          <w:szCs w:val="22"/>
        </w:rPr>
        <w:t xml:space="preserve">No separate special circumstance is stated; the ordinary route remains subject to official assessment.</w:t>
      </w:r>
    </w:p>
    <w:p>
      <w:pPr>
        <w:pStyle w:val="Heading2"/>
        <w:keepNext/>
        <w:spacing w:after="120" w:before="240"/>
      </w:pPr>
      <w:r>
        <w:rPr>
          <w:rFonts w:ascii="Calibri" w:cs="Calibri" w:eastAsia="Calibri" w:hAnsi="Calibri"/>
          <w:b/>
          <w:bCs/>
          <w:color w:val="102B3F"/>
          <w:sz w:val="26"/>
          <w:szCs w:val="26"/>
        </w:rPr>
        <w:t xml:space="preserve">4. COMPANION AUTHORITY AND SAFEGUARDS</w:t>
      </w:r>
    </w:p>
    <w:p>
      <w:pPr>
        <w:keepLines/>
        <w:spacing w:after="120" w:line="264"/>
        <w:jc w:val="both"/>
      </w:pPr>
      <w:r>
        <w:rPr>
          <w:rFonts w:ascii="Calibri" w:cs="Calibri" w:eastAsia="Calibri" w:hAnsi="Calibri"/>
          <w:sz w:val="22"/>
          <w:szCs w:val="22"/>
        </w:rPr>
        <w:t xml:space="preserve">Ana Lucia Reyes, born February 20, 1988, a Filipino citizen residing at 88 Acacia Avenue, Pasig City 1605, contact +63 917 555 2001, ana.reyes@example.com, is authorized only for this trip. Identification/passport evidence: Philippine passport P7654321B, valid until 18 February 2031.</w:t>
      </w:r>
    </w:p>
    <w:p>
      <w:pPr>
        <w:keepLines/>
        <w:spacing w:after="120" w:line="264"/>
        <w:jc w:val="both"/>
      </w:pPr>
      <w:r>
        <w:rPr>
          <w:rFonts w:ascii="Calibri" w:cs="Calibri" w:eastAsia="Calibri" w:hAnsi="Calibri"/>
          <w:sz w:val="22"/>
          <w:szCs w:val="22"/>
        </w:rPr>
        <w:t xml:space="preserve">Maintain direct supervision, keep the child's passport and travel records secure, follow the approved itinerary, use age-appropriate safeguarding, conduct daily parent check-ins, report any emergency or itinerary change promptly, and return the child to the parents in Manila on 25 October 2026.</w:t>
      </w:r>
    </w:p>
    <w:p>
      <w:pPr>
        <w:keepLines/>
        <w:spacing w:after="120" w:line="264"/>
        <w:jc w:val="both"/>
      </w:pPr>
      <w:r>
        <w:rPr>
          <w:rFonts w:ascii="Calibri" w:cs="Calibri" w:eastAsia="Calibri" w:hAnsi="Calibri"/>
          <w:sz w:val="22"/>
          <w:szCs w:val="22"/>
        </w:rPr>
        <w:t xml:space="preserve">The companion may supervise ordinary travel activities, safeguard the child and travel records, communicate with the affiant(s), obtain routine logistical assistance, and return or transfer the child only as lawfully planned. The companion may not change custody, delegate care to an unapproved person, conceal the child, authorize adoption, use the child for work or exploitation, or act beyond this limited authority.</w:t>
      </w:r>
    </w:p>
    <w:p>
      <w:pPr>
        <w:pStyle w:val="Heading2"/>
        <w:keepNext/>
        <w:spacing w:after="120" w:before="240"/>
      </w:pPr>
      <w:r>
        <w:rPr>
          <w:rFonts w:ascii="Calibri" w:cs="Calibri" w:eastAsia="Calibri" w:hAnsi="Calibri"/>
          <w:b/>
          <w:bCs/>
          <w:color w:val="102B3F"/>
          <w:sz w:val="26"/>
          <w:szCs w:val="26"/>
        </w:rPr>
        <w:t xml:space="preserve">5. SUPPORT AND EXPENSES</w:t>
      </w:r>
    </w:p>
    <w:p>
      <w:pPr>
        <w:keepLines/>
        <w:spacing w:after="120" w:line="264"/>
        <w:jc w:val="both"/>
      </w:pPr>
      <w:r>
        <w:rPr>
          <w:rFonts w:ascii="Calibri" w:cs="Calibri" w:eastAsia="Calibri" w:hAnsi="Calibri"/>
          <w:sz w:val="22"/>
          <w:szCs w:val="22"/>
        </w:rPr>
        <w:t xml:space="preserve">The affiant(s), as sponsor(s) (Maria Elena Santos and Jose Miguel Santos, related to the child as Parents, with contact/address 24 Sampaguita Street, Quezon City 1103; +63 917 555 1001 and +63 917 555 1002), undertake to cover: Round-trip airfare, accommodation, food, local transportation, travel insurance, ordinary and emergency medical costs, communications, activities, and return expenses for the entire authorized trip.</w:t>
      </w:r>
    </w:p>
    <w:p>
      <w:pPr>
        <w:keepLines/>
        <w:spacing w:after="120" w:line="264"/>
        <w:jc w:val="both"/>
      </w:pPr>
      <w:r>
        <w:rPr>
          <w:rFonts w:ascii="Calibri" w:cs="Calibri" w:eastAsia="Calibri" w:hAnsi="Calibri"/>
          <w:sz w:val="22"/>
          <w:szCs w:val="22"/>
        </w:rPr>
        <w:t xml:space="preserve">Financial-capacity evidence identified for the official application: Current Certificates of Employment, 2025 income tax returns, and recent bank statements of both parent sponsors. The receiving authority independently decides whether it is sufficient.</w:t>
      </w:r>
    </w:p>
    <w:p>
      <w:pPr>
        <w:pStyle w:val="Heading2"/>
        <w:keepNext/>
        <w:spacing w:after="120" w:before="240"/>
      </w:pPr>
      <w:r>
        <w:rPr>
          <w:rFonts w:ascii="Calibri" w:cs="Calibri" w:eastAsia="Calibri" w:hAnsi="Calibri"/>
          <w:b/>
          <w:bCs/>
          <w:color w:val="102B3F"/>
          <w:sz w:val="26"/>
          <w:szCs w:val="26"/>
        </w:rPr>
        <w:t xml:space="preserve">6. HEALTH, EMERGENCY, AND COMMUNICATION</w:t>
      </w:r>
    </w:p>
    <w:p>
      <w:pPr>
        <w:keepLines/>
        <w:spacing w:after="120" w:line="264"/>
        <w:jc w:val="both"/>
      </w:pPr>
      <w:r>
        <w:rPr>
          <w:rFonts w:ascii="Calibri" w:cs="Calibri" w:eastAsia="Calibri" w:hAnsi="Calibri"/>
          <w:sz w:val="22"/>
          <w:szCs w:val="22"/>
        </w:rPr>
        <w:t xml:space="preserve">Medical-authority route: emergency only. Seek emergency care when reasonably necessary, immediately attempt to contact both parents, use the attached travel insurance details, disclose only information needed for care, and follow the provider's lawful consent process.</w:t>
      </w:r>
    </w:p>
    <w:p>
      <w:pPr>
        <w:keepLines/>
        <w:spacing w:after="120" w:line="264"/>
        <w:jc w:val="both"/>
      </w:pPr>
      <w:r>
        <w:rPr>
          <w:rFonts w:ascii="Calibri" w:cs="Calibri" w:eastAsia="Calibri" w:hAnsi="Calibri"/>
          <w:sz w:val="22"/>
          <w:szCs w:val="22"/>
        </w:rPr>
        <w:t xml:space="preserve">Parent/guardian emergency contacts: Maria Elena Santos: +63 917 555 1001; Jose Miguel Santos: +63 917 555 1002; both available by voice, SMS, and secure messaging throughout the trip. Destination or fallback emergency contact: Keiko D. Reyes, +81 90 1234 5678, host address listed in the attached invitation; Philippine Embassy emergency contact to be confirmed before departure.</w:t>
      </w:r>
    </w:p>
    <w:p>
      <w:pPr>
        <w:keepLines/>
        <w:spacing w:after="120" w:line="264"/>
        <w:jc w:val="both"/>
      </w:pPr>
      <w:r>
        <w:rPr>
          <w:rFonts w:ascii="Calibri" w:cs="Calibri" w:eastAsia="Calibri" w:hAnsi="Calibri"/>
          <w:sz w:val="22"/>
          <w:szCs w:val="22"/>
        </w:rPr>
        <w:t xml:space="preserve">Communication and missed-contact plan: Video call with both parents every evening at 8:00 p.m. Japan time; companion sends arrival and transfer confirmations; a missed check-in triggers calls to the hotel, host, airline, and local emergency contact within one hour.</w:t>
      </w:r>
    </w:p>
    <w:p>
      <w:pPr>
        <w:keepLines/>
        <w:spacing w:after="120" w:line="264"/>
        <w:jc w:val="both"/>
      </w:pPr>
      <w:r>
        <w:rPr>
          <w:rFonts w:ascii="Calibri" w:cs="Calibri" w:eastAsia="Calibri" w:hAnsi="Calibri"/>
          <w:sz w:val="22"/>
          <w:szCs w:val="22"/>
        </w:rPr>
        <w:t xml:space="preserve">This provision does not compel a healthcare provider to treat, override emergency law or clinical judgment, disclose records unlawfully, or authorize a procedure for which the provider requires direct parental, guardian, court, or other legal consent.</w:t>
      </w:r>
    </w:p>
    <w:p>
      <w:pPr>
        <w:pStyle w:val="Heading2"/>
        <w:keepNext/>
        <w:spacing w:after="120" w:before="240"/>
      </w:pPr>
      <w:r>
        <w:rPr>
          <w:rFonts w:ascii="Calibri" w:cs="Calibri" w:eastAsia="Calibri" w:hAnsi="Calibri"/>
          <w:b/>
          <w:bCs/>
          <w:color w:val="102B3F"/>
          <w:sz w:val="26"/>
          <w:szCs w:val="26"/>
        </w:rPr>
        <w:t xml:space="preserve">7. TEMPORARY AUTHORITY; CHILD PROTECTION</w:t>
      </w:r>
    </w:p>
    <w:p>
      <w:pPr>
        <w:keepLines/>
        <w:spacing w:after="120" w:line="264"/>
        <w:jc w:val="both"/>
      </w:pPr>
      <w:r>
        <w:rPr>
          <w:rFonts w:ascii="Calibri" w:cs="Calibri" w:eastAsia="Calibri" w:hAnsi="Calibri"/>
          <w:sz w:val="22"/>
          <w:szCs w:val="22"/>
        </w:rPr>
        <w:t xml:space="preserve">The authorization is temporary and does not transfer parental authority, legal custody, adoption rights, or guardianship; renounce a lawful parent's or guardian's duties; change residence; grant authority over property; or permit decision-making beyond the specific travel safeguards written here.</w:t>
      </w:r>
    </w:p>
    <w:p>
      <w:pPr>
        <w:keepLines/>
        <w:spacing w:after="120" w:line="264"/>
        <w:jc w:val="both"/>
      </w:pPr>
      <w:r>
        <w:rPr>
          <w:rFonts w:ascii="Calibri" w:cs="Calibri" w:eastAsia="Calibri" w:hAnsi="Calibri"/>
          <w:sz w:val="22"/>
          <w:szCs w:val="22"/>
        </w:rPr>
        <w:t xml:space="preserve">The affiant(s) represent that the trip has a legitimate purpose, the companion and arrangements were checked, the child will be protected from abuse, exploitation and trafficking, and the stated return or onward plan is genuine. Any safety issue, contrary court direction, official refusal, or material itinerary change must be addressed before travel continues.</w:t>
      </w:r>
    </w:p>
    <w:p>
      <w:pPr>
        <w:pStyle w:val="Heading2"/>
        <w:keepNext/>
        <w:spacing w:after="120" w:before="240"/>
      </w:pPr>
      <w:r>
        <w:rPr>
          <w:rFonts w:ascii="Calibri" w:cs="Calibri" w:eastAsia="Calibri" w:hAnsi="Calibri"/>
          <w:b/>
          <w:bCs/>
          <w:color w:val="102B3F"/>
          <w:sz w:val="26"/>
          <w:szCs w:val="26"/>
        </w:rPr>
        <w:t xml:space="preserve">8. SUPPORTING RECORDS AND DATA HANDLING</w:t>
      </w:r>
    </w:p>
    <w:p>
      <w:pPr>
        <w:keepLines/>
        <w:spacing w:after="120" w:line="264"/>
        <w:jc w:val="both"/>
      </w:pPr>
      <w:r>
        <w:rPr>
          <w:rFonts w:ascii="Calibri" w:cs="Calibri" w:eastAsia="Calibri" w:hAnsi="Calibri"/>
          <w:sz w:val="22"/>
          <w:szCs w:val="22"/>
        </w:rPr>
        <w:t xml:space="preserve">Records attached or to be obtained: DSWD MTA online application; QR-coded PSA birth and parents' marriage certificates; child passport; both parents' passport/ID copies with specimen signatures; companion passport; current photos; itinerary and tickets; host invitation; travel insurance; affidavits of support and consent; financial-capacity evidence</w:t>
      </w:r>
    </w:p>
    <w:p>
      <w:pPr>
        <w:keepLines/>
        <w:spacing w:after="120" w:line="264"/>
        <w:jc w:val="both"/>
      </w:pPr>
      <w:r>
        <w:rPr>
          <w:rFonts w:ascii="Calibri" w:cs="Calibri" w:eastAsia="Calibri" w:hAnsi="Calibri"/>
          <w:sz w:val="22"/>
          <w:szCs w:val="22"/>
        </w:rPr>
        <w:t xml:space="preserve">Birth, passport, custody, contact, financial, itinerary, and health records must be disclosed only as necessary to DSWD, NACC/RACCO, immigration, consular, airline, transport, school/event, healthcare, insurer, or other authorized recipients through verified secure channels. Public posting and unnecessary ID copies are not authorized.</w:t>
      </w:r>
    </w:p>
    <w:p>
      <w:pPr>
        <w:pStyle w:val="Heading2"/>
        <w:keepNext/>
        <w:spacing w:after="120" w:before="240"/>
      </w:pPr>
      <w:r>
        <w:rPr>
          <w:rFonts w:ascii="Calibri" w:cs="Calibri" w:eastAsia="Calibri" w:hAnsi="Calibri"/>
          <w:b/>
          <w:bCs/>
          <w:color w:val="102B3F"/>
          <w:sz w:val="26"/>
          <w:szCs w:val="26"/>
        </w:rPr>
        <w:t xml:space="preserve">9. TRUTHFULNESS AND PURPOSE</w:t>
      </w:r>
    </w:p>
    <w:p>
      <w:pPr>
        <w:keepLines/>
        <w:spacing w:after="120" w:line="264"/>
        <w:jc w:val="both"/>
      </w:pPr>
      <w:r>
        <w:rPr>
          <w:rFonts w:ascii="Calibri" w:cs="Calibri" w:eastAsia="Calibri" w:hAnsi="Calibri"/>
          <w:sz w:val="22"/>
          <w:szCs w:val="22"/>
        </w:rPr>
        <w:t xml:space="preserve">This affidavit is executed on August 30, 2026 to evidence specific parental or custodial consent and support for the stated travel and, where applicable, to support the current official application. The affiant(s) understand that notarization verifies the notarial act—not an invented fact—and that authorities may require interviews, originals, additional evidence, or a different form.</w:t>
      </w:r>
    </w:p>
    <w:p>
      <w:pPr>
        <w:keepNext/>
        <w:spacing w:after="260" w:before="360"/>
      </w:pPr>
      <w:r>
        <w:rPr>
          <w:rFonts w:ascii="Calibri" w:cs="Calibri" w:eastAsia="Calibri" w:hAnsi="Calibri"/>
          <w:b/>
          <w:bCs/>
          <w:sz w:val="22"/>
          <w:szCs w:val="22"/>
        </w:rPr>
        <w:t xml:space="preserve">IN WITNESS WHEREOF, the affiant(s) shall sign this complete document only through the accepted notarial or consular process: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MOTHER / AFFIANT</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Filipino, Married · +63 917 555 1001, maria.santos@example.com · ID to present: Current Philippine passport with specimen signature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FATHER / AFFIANT</w:t>
            </w:r>
          </w:p>
          <w:p>
            <w:pPr>
              <w:spacing w:after="120"/>
            </w:pPr>
            <w:r>
              <w:rPr>
                <w:rFonts w:ascii="Calibri" w:cs="Calibri" w:eastAsia="Calibri" w:hAnsi="Calibri"/>
                <w:sz w:val="22"/>
                <w:szCs w:val="22"/>
              </w:rPr>
              <w:t xml:space="preserve">Jose Miguel Santos</w:t>
            </w:r>
          </w:p>
          <w:p>
            <w:pPr>
              <w:spacing w:after="120"/>
            </w:pPr>
            <w:r>
              <w:rPr>
                <w:rFonts w:ascii="Calibri" w:cs="Calibri" w:eastAsia="Calibri" w:hAnsi="Calibri"/>
                <w:sz w:val="22"/>
                <w:szCs w:val="22"/>
              </w:rPr>
              <w:t xml:space="preserve">Filipino, Married · +63 917 555 1002, jose.santos@example.com · ID to present: Current Philippine passport with specimen signature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JURAT — FOR THE AUTHORIZED NOTARIAL OR CONSULAR OFFICER TO COMPLETE</w:t>
      </w:r>
    </w:p>
    <w:p>
      <w:pPr>
        <w:keepLines/>
        <w:spacing w:after="120" w:line="264"/>
        <w:jc w:val="both"/>
      </w:pPr>
      <w:r>
        <w:rPr>
          <w:rFonts w:ascii="Calibri" w:cs="Calibri" w:eastAsia="Calibri" w:hAnsi="Calibri"/>
          <w:sz w:val="22"/>
          <w:szCs w:val="22"/>
        </w:rPr>
        <w:t xml:space="preserve">SUBSCRIBED AND SWORN to before me on __________________ at Quezon City, Philippines, by Maria Elena Santos, Jose Miguel Santos, who personally appeared, presented this integrally complete document, signed in my presence, took the oath as to its contents, and were identified through competent evidence of identity whose particulars I record below.</w:t>
      </w:r>
    </w:p>
    <w:p>
      <w:pPr>
        <w:keepLines/>
        <w:spacing w:after="120" w:line="264"/>
        <w:jc w:val="both"/>
      </w:pPr>
      <w:r>
        <w:rPr>
          <w:rFonts w:ascii="Calibri" w:cs="Calibri" w:eastAsia="Calibri" w:hAnsi="Calibri"/>
          <w:sz w:val="22"/>
          <w:szCs w:val="22"/>
        </w:rPr>
        <w:t xml:space="preserve">Identity documents and particulars: ______________________________</w:t>
      </w:r>
    </w:p>
    <w:p>
      <w:pPr>
        <w:keepLines/>
        <w:spacing w:after="120" w:line="264"/>
        <w:jc w:val="both"/>
      </w:pPr>
      <w:r>
        <w:rPr>
          <w:rFonts w:ascii="Calibri" w:cs="Calibri" w:eastAsia="Calibri" w:hAnsi="Calibri"/>
          <w:sz w:val="22"/>
          <w:szCs w:val="22"/>
        </w:rPr>
        <w:t xml:space="preserve">Notarial/consular officer: ______________________________</w:t>
      </w:r>
    </w:p>
    <w:p>
      <w:pPr>
        <w:keepLines/>
        <w:spacing w:after="120" w:line="264"/>
        <w:jc w:val="both"/>
      </w:pPr>
      <w:r>
        <w:rPr>
          <w:rFonts w:ascii="Calibri" w:cs="Calibri" w:eastAsia="Calibri" w:hAnsi="Calibri"/>
          <w:sz w:val="22"/>
          <w:szCs w:val="22"/>
        </w:rPr>
        <w:t xml:space="preserve">Commission, office, seal, register, verification, Doc./Page/Book/Series or equivalent official particulars: TO BE COMPLETED BY THE AUTHORIZED OFFICER.</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Official route identified: DSWD Travel Clearance Certificate route. Recheck https://mta.dswd.gov.ph before submission because the DSWD route, fees, evidence, interview, and operational rules can change. A private affidavit never becomes the DSWD certificate.</w:t>
      </w:r>
    </w:p>
    <w:p>
      <w:pPr>
        <w:pStyle w:val="ListParagraph"/>
        <w:keepNext/>
        <w:numPr>
          <w:ilvl w:val="0"/>
          <w:numId w:val="1"/>
        </w:numPr>
        <w:spacing w:after="120" w:line="264"/>
      </w:pPr>
      <w:r>
        <w:rPr>
          <w:rFonts w:ascii="Calibri" w:cs="Calibri" w:eastAsia="Calibri" w:hAnsi="Calibri"/>
          <w:sz w:val="22"/>
          <w:szCs w:val="22"/>
        </w:rPr>
        <w:t xml:space="preserve">Match the child's legal name, birth date, civil status, PSA record, passport, destination, purpose, dates, companion, sponsor, and every uploaded field exactly. Resolve any discrepancy before notarization or application.</w:t>
      </w:r>
    </w:p>
    <w:p>
      <w:pPr>
        <w:pStyle w:val="ListParagraph"/>
        <w:keepNext/>
        <w:numPr>
          <w:ilvl w:val="0"/>
          <w:numId w:val="1"/>
        </w:numPr>
        <w:spacing w:after="120" w:line="264"/>
      </w:pPr>
      <w:r>
        <w:rPr>
          <w:rFonts w:ascii="Calibri" w:cs="Calibri" w:eastAsia="Calibri" w:hAnsi="Calibri"/>
          <w:sz w:val="22"/>
          <w:szCs w:val="22"/>
        </w:rPr>
        <w:t xml:space="preserve">Obtain both married parents' accepted consent and current IDs unless a controlling court order or current DSWD rule establishes a different documented route. Physical separation alone does not create a unilateral shortcut.</w:t>
      </w:r>
    </w:p>
    <w:p>
      <w:pPr>
        <w:pStyle w:val="ListParagraph"/>
        <w:keepNext/>
        <w:numPr>
          <w:ilvl w:val="0"/>
          <w:numId w:val="1"/>
        </w:numPr>
        <w:spacing w:after="120" w:line="264"/>
      </w:pPr>
      <w:r>
        <w:rPr>
          <w:rFonts w:ascii="Calibri" w:cs="Calibri" w:eastAsia="Calibri" w:hAnsi="Calibri"/>
          <w:sz w:val="22"/>
          <w:szCs w:val="22"/>
        </w:rPr>
        <w:t xml:space="preserve">Attach the exact companion's current passport and applicable visa/ACR evidence. If the companion is a non-relative, obtain the current DSWD-required notarized undertaking and verify whether it must be a separate official form.</w:t>
      </w:r>
    </w:p>
    <w:p>
      <w:pPr>
        <w:pStyle w:val="ListParagraph"/>
        <w:keepNext/>
        <w:numPr>
          <w:ilvl w:val="0"/>
          <w:numId w:val="1"/>
        </w:numPr>
        <w:spacing w:after="120" w:line="264"/>
      </w:pPr>
      <w:r>
        <w:rPr>
          <w:rFonts w:ascii="Calibri" w:cs="Calibri" w:eastAsia="Calibri" w:hAnsi="Calibri"/>
          <w:sz w:val="22"/>
          <w:szCs w:val="22"/>
        </w:rPr>
        <w:t xml:space="preserve">For the current DSWD online interview, prepare the required parent(s), child, and companion to attend as instructed; they may participate from different locations. Use only the official MTA portal and avoid fixers or unofficial pages.</w:t>
      </w:r>
    </w:p>
    <w:p>
      <w:pPr>
        <w:pStyle w:val="ListParagraph"/>
        <w:keepNext/>
        <w:numPr>
          <w:ilvl w:val="0"/>
          <w:numId w:val="1"/>
        </w:numPr>
        <w:spacing w:after="120" w:line="264"/>
      </w:pPr>
      <w:r>
        <w:rPr>
          <w:rFonts w:ascii="Calibri" w:cs="Calibri" w:eastAsia="Calibri" w:hAnsi="Calibri"/>
          <w:sz w:val="22"/>
          <w:szCs w:val="22"/>
        </w:rPr>
        <w:t xml:space="preserve">Check whether the purpose requires an invitation, medical record, visa, enrollment, event certification, court record, social case study, or another current special-circumstance document.</w:t>
      </w:r>
    </w:p>
    <w:p>
      <w:pPr>
        <w:pStyle w:val="ListParagraph"/>
        <w:keepNext/>
        <w:numPr>
          <w:ilvl w:val="0"/>
          <w:numId w:val="1"/>
        </w:numPr>
        <w:spacing w:after="120" w:line="264"/>
      </w:pPr>
      <w:r>
        <w:rPr>
          <w:rFonts w:ascii="Calibri" w:cs="Calibri" w:eastAsia="Calibri" w:hAnsi="Calibri"/>
          <w:sz w:val="22"/>
          <w:szCs w:val="22"/>
        </w:rPr>
        <w:t xml:space="preserve">Prepare truthful support evidence: current Certificate of Employment, ITR, bank statement, invitation/support guarantee, insurance, and payment/return arrangements. Share only what the official checklist lawfully needs.</w:t>
      </w:r>
    </w:p>
    <w:p>
      <w:pPr>
        <w:pStyle w:val="ListParagraph"/>
        <w:keepNext/>
        <w:numPr>
          <w:ilvl w:val="0"/>
          <w:numId w:val="1"/>
        </w:numPr>
        <w:spacing w:after="120" w:line="264"/>
      </w:pPr>
      <w:r>
        <w:rPr>
          <w:rFonts w:ascii="Calibri" w:cs="Calibri" w:eastAsia="Calibri" w:hAnsi="Calibri"/>
          <w:sz w:val="22"/>
          <w:szCs w:val="22"/>
        </w:rPr>
        <w:t xml:space="preserve">DSWD's online process relies on the parents' participation in the online interview; a notarized parental consent is not itself a listed DSWD requirement. Airlines and immigration officers may still ask for one, which this document supplies.</w:t>
      </w:r>
    </w:p>
    <w:p>
      <w:pPr>
        <w:pStyle w:val="ListParagraph"/>
        <w:keepNext/>
        <w:numPr>
          <w:ilvl w:val="0"/>
          <w:numId w:val="1"/>
        </w:numPr>
        <w:spacing w:after="120" w:line="264"/>
      </w:pPr>
      <w:r>
        <w:rPr>
          <w:rFonts w:ascii="Calibri" w:cs="Calibri" w:eastAsia="Calibri" w:hAnsi="Calibri"/>
          <w:sz w:val="22"/>
          <w:szCs w:val="22"/>
        </w:rPr>
        <w:t xml:space="preserve">Do not pre-sign. Each affiant must bring the integrally complete document and current accepted photo ID, appear before a duly commissioned notary within territorial authority, sign in the notary's presence, and take the oath.</w:t>
      </w:r>
    </w:p>
    <w:p>
      <w:pPr>
        <w:pStyle w:val="ListParagraph"/>
        <w:keepNext/>
        <w:numPr>
          <w:ilvl w:val="0"/>
          <w:numId w:val="1"/>
        </w:numPr>
        <w:spacing w:after="120" w:line="264"/>
      </w:pPr>
      <w:r>
        <w:rPr>
          <w:rFonts w:ascii="Calibri" w:cs="Calibri" w:eastAsia="Calibri" w:hAnsi="Calibri"/>
          <w:sz w:val="22"/>
          <w:szCs w:val="22"/>
        </w:rPr>
        <w:t xml:space="preserve">Prepare 3 accepted signed/notarized originals or counterparts. Retain secure copies of submission, payment, interview, TCC/CE, delivery, itinerary changes, rebooking proof, companion changes, emergency contacts, and return/arrival evidence.</w:t>
      </w:r>
    </w:p>
    <w:p>
      <w:pPr>
        <w:pStyle w:val="ListParagraph"/>
        <w:keepNext w:val="false"/>
        <w:numPr>
          <w:ilvl w:val="0"/>
          <w:numId w:val="1"/>
        </w:numPr>
        <w:spacing w:after="120" w:line="264"/>
      </w:pPr>
      <w:r>
        <w:rPr>
          <w:rFonts w:ascii="Calibri" w:cs="Calibri" w:eastAsia="Calibri" w:hAnsi="Calibri"/>
          <w:sz w:val="22"/>
          <w:szCs w:val="22"/>
        </w:rPr>
        <w:t xml:space="preserve">Stop and obtain licensed Philippine family-law/court guidance if any parent objects, custody or parental authority is disputed, a protection or travel restriction may exist, the child's location is concealed, a return is uncertain, facts conflict, or the trip may expose the child to exploitation, unsafe care, unauthorized work, adoption evasion, or trafficking.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2026-10-01 onward, subject to the recorded review cycle | Engineering draft · independent Philippine family-lawyer review pending | Last legal check 2026-10-01 | Next review due 2026-12-01</w:t>
      </w:r>
    </w:p>
    <w:p>
      <w:pPr>
        <w:keepNext/>
        <w:spacing w:after="60" w:before="100"/>
      </w:pPr>
      <w:r>
        <w:rPr>
          <w:rFonts w:ascii="Calibri" w:cs="Calibri" w:eastAsia="Calibri" w:hAnsi="Calibri"/>
          <w:b/>
          <w:bCs/>
          <w:sz w:val="18"/>
          <w:szCs w:val="18"/>
        </w:rPr>
        <w:t xml:space="preserve">DSWD Minors Traveling Abroad — Current TCC and Certificate of Exemption FAQ - Current route definitions, automatic exemptions, TCC/CE applicants and evidence (notarized oath of undertaking for a non-relative companion, affidavit of support for a child traveling alone, sworn proof of financial capacity for a sponsor abroad), mandatory online interview of the parents, child and companion, validity, and change-of-companion/purpose/destination consequences (checked 2026-10-01)</w:t>
      </w:r>
    </w:p>
    <w:p>
      <w:pPr>
        <w:spacing w:after="120"/>
      </w:pPr>
      <w:hyperlink w:history="1" r:id="rIdbglwuusrqj1gl2a0j_jff">
        <w:r>
          <w:rPr>
            <w:rFonts w:ascii="Calibri" w:cs="Calibri" w:eastAsia="Calibri" w:hAnsi="Calibri"/>
            <w:color w:val="315B75"/>
            <w:sz w:val="17"/>
            <w:szCs w:val="17"/>
            <w:u w:val="single"/>
          </w:rPr>
          <w:t xml:space="preserve">https://mta.dswd.gov.ph/Home/FAQEn</w:t>
        </w:r>
      </w:hyperlink>
    </w:p>
    <w:p>
      <w:pPr>
        <w:keepNext/>
        <w:spacing w:after="60" w:before="100"/>
      </w:pPr>
      <w:r>
        <w:rPr>
          <w:rFonts w:ascii="Calibri" w:cs="Calibri" w:eastAsia="Calibri" w:hAnsi="Calibri"/>
          <w:b/>
          <w:bCs/>
          <w:sz w:val="18"/>
          <w:szCs w:val="18"/>
        </w:rPr>
        <w:t xml:space="preserve">DSWD Memorandum Circular No. 22, Series of 2024 (Internet Archive copy of DSWD's file, captured 17 May 2025; the DSWD link now returns 404) - Digitized Travel Clearance for Minors Traveling Abroad: Sec. IV.1(e) child below 13 with a relative over 15 joining parents abroad; Sec. V.2 who may apply, including a companion with written parental consent; Sec. V.5 pending custody case; Sec. V.9 no child below 13 may travel alone (checked 2026-10-01)</w:t>
      </w:r>
    </w:p>
    <w:p>
      <w:pPr>
        <w:spacing w:after="120"/>
      </w:pPr>
      <w:hyperlink w:history="1" r:id="rIdk-bzmd7xns1ywaeflgo_u">
        <w:r>
          <w:rPr>
            <w:rFonts w:ascii="Calibri" w:cs="Calibri" w:eastAsia="Calibri" w:hAnsi="Calibri"/>
            <w:color w:val="315B75"/>
            <w:sz w:val="17"/>
            <w:szCs w:val="17"/>
            <w:u w:val="single"/>
          </w:rPr>
          <w:t xml:space="preserve">https://web.archive.org/web/20250517231126/https://www.dswd.gov.ph/wp-content/uploads/2025/02/MC_2024-022.pdf</w:t>
        </w:r>
      </w:hyperlink>
    </w:p>
    <w:p>
      <w:pPr>
        <w:keepNext/>
        <w:spacing w:after="60" w:before="100"/>
      </w:pPr>
      <w:r>
        <w:rPr>
          <w:rFonts w:ascii="Calibri" w:cs="Calibri" w:eastAsia="Calibri" w:hAnsi="Calibri"/>
          <w:b/>
          <w:bCs/>
          <w:sz w:val="18"/>
          <w:szCs w:val="18"/>
        </w:rPr>
        <w:t xml:space="preserve">Executive Order No. 209 — Family Code of the Philippines - Articles 176 and 209–220 — parental authority, joint authority, court-designated custody, substitute authority, special authority, representation, care, and protection (checked 2026-10-01)</w:t>
      </w:r>
    </w:p>
    <w:p>
      <w:pPr>
        <w:spacing w:after="120"/>
      </w:pPr>
      <w:hyperlink w:history="1" r:id="rIdqkflcchnfvs2w9yhcurnt">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Republic Act No. 9255 - Article 176 amendment retaining maternal parental authority over a non-marital child, notwithstanding permitted use of the father's surname (checked 2026-10-01)</w:t>
      </w:r>
    </w:p>
    <w:p>
      <w:pPr>
        <w:spacing w:after="120"/>
      </w:pPr>
      <w:hyperlink w:history="1" r:id="rIdnm8r--naojxrqdlgf3u5s">
        <w:r>
          <w:rPr>
            <w:rFonts w:ascii="Calibri" w:cs="Calibri" w:eastAsia="Calibri" w:hAnsi="Calibri"/>
            <w:color w:val="315B75"/>
            <w:sz w:val="17"/>
            <w:szCs w:val="17"/>
            <w:u w:val="single"/>
          </w:rPr>
          <w:t xml:space="preserve">https://lawphil.net/statutes/repacts/ra2004/pdf/ra_9255_2004.pdf</w:t>
        </w:r>
      </w:hyperlink>
    </w:p>
    <w:p>
      <w:pPr>
        <w:keepNext/>
        <w:spacing w:after="60" w:before="100"/>
      </w:pPr>
      <w:r>
        <w:rPr>
          <w:rFonts w:ascii="Calibri" w:cs="Calibri" w:eastAsia="Calibri" w:hAnsi="Calibri"/>
          <w:b/>
          <w:bCs/>
          <w:sz w:val="18"/>
          <w:szCs w:val="18"/>
        </w:rPr>
        <w:t xml:space="preserve">Republic Act No. 10364 — Expanded Anti-Trafficking in Persons Act - Sec. 4-A attempted trafficking, including travel of a child without a valid reason and required DSWD or parental/legal-guardian authority (checked 2026-10-01)</w:t>
      </w:r>
    </w:p>
    <w:p>
      <w:pPr>
        <w:spacing w:after="120"/>
      </w:pPr>
      <w:hyperlink w:history="1" r:id="rId7kwowoblxbgola5a2z6pp">
        <w:r>
          <w:rPr>
            <w:rFonts w:ascii="Calibri" w:cs="Calibri" w:eastAsia="Calibri" w:hAnsi="Calibri"/>
            <w:color w:val="315B75"/>
            <w:sz w:val="17"/>
            <w:szCs w:val="17"/>
            <w:u w:val="single"/>
          </w:rPr>
          <w:t xml:space="preserve">https://lawphil.net/statutes/repacts/ra2013/ra_10364_2013.html</w:t>
        </w:r>
      </w:hyperlink>
    </w:p>
    <w:p>
      <w:pPr>
        <w:keepNext/>
        <w:spacing w:after="60" w:before="100"/>
      </w:pPr>
      <w:r>
        <w:rPr>
          <w:rFonts w:ascii="Calibri" w:cs="Calibri" w:eastAsia="Calibri" w:hAnsi="Calibri"/>
          <w:b/>
          <w:bCs/>
          <w:sz w:val="18"/>
          <w:szCs w:val="18"/>
        </w:rPr>
        <w:t xml:space="preserve">Republic Act No. 11862 — Expanded Anti-Trafficking in Persons Act of 2022 - Further amendments to RA 9208 on trafficking in persons; Sec. 4-A as inserted by RA 10364 remains in force (checked 2026-10-01)</w:t>
      </w:r>
    </w:p>
    <w:p>
      <w:pPr>
        <w:spacing w:after="120"/>
      </w:pPr>
      <w:hyperlink w:history="1" r:id="rIdm3owewbtejxa0d5cldncg">
        <w:r>
          <w:rPr>
            <w:rFonts w:ascii="Calibri" w:cs="Calibri" w:eastAsia="Calibri" w:hAnsi="Calibri"/>
            <w:color w:val="315B75"/>
            <w:sz w:val="17"/>
            <w:szCs w:val="17"/>
            <w:u w:val="single"/>
          </w:rPr>
          <w:t xml:space="preserve">https://lawphil.net/statutes/repacts/ra2022/ra_11862_2022.html</w:t>
        </w:r>
      </w:hyperlink>
    </w:p>
    <w:p>
      <w:pPr>
        <w:keepNext/>
        <w:spacing w:after="60" w:before="100"/>
      </w:pPr>
      <w:r>
        <w:rPr>
          <w:rFonts w:ascii="Calibri" w:cs="Calibri" w:eastAsia="Calibri" w:hAnsi="Calibri"/>
          <w:b/>
          <w:bCs/>
          <w:sz w:val="18"/>
          <w:szCs w:val="18"/>
        </w:rPr>
        <w:t xml:space="preserve">Republic Act No. 7610 — Special Protection of Children Against Abuse, Exploitation and Discrimination Act - Sec. 8(a): attempted child trafficking when a child travels alone abroad without valid reason and without a DSWD clearance or written permit or justification from the parents or legal guardian (checked 2026-10-01)</w:t>
      </w:r>
    </w:p>
    <w:p>
      <w:pPr>
        <w:spacing w:after="120"/>
      </w:pPr>
      <w:hyperlink w:history="1" r:id="rIdbsswgykbs038uubm7ur59">
        <w:r>
          <w:rPr>
            <w:rFonts w:ascii="Calibri" w:cs="Calibri" w:eastAsia="Calibri" w:hAnsi="Calibri"/>
            <w:color w:val="315B75"/>
            <w:sz w:val="17"/>
            <w:szCs w:val="17"/>
            <w:u w:val="single"/>
          </w:rPr>
          <w:t xml:space="preserve">https://lawphil.net/statutes/repacts/ra1992/ra_7610_1992.html</w:t>
        </w:r>
      </w:hyperlink>
    </w:p>
    <w:p>
      <w:pPr>
        <w:keepNext/>
        <w:spacing w:after="60" w:before="100"/>
      </w:pPr>
      <w:r>
        <w:rPr>
          <w:rFonts w:ascii="Calibri" w:cs="Calibri" w:eastAsia="Calibri" w:hAnsi="Calibri"/>
          <w:b/>
          <w:bCs/>
          <w:sz w:val="18"/>
          <w:szCs w:val="18"/>
        </w:rPr>
        <w:t xml:space="preserve">2004 Rules on Notarial Practice, as amended - Oath, jurat, personal appearance, complete instrument, competent evidence of identity, venue, and notarial-certificate requirements (checked 2026-08-30)</w:t>
      </w:r>
    </w:p>
    <w:p>
      <w:pPr>
        <w:spacing w:after="120"/>
      </w:pPr>
      <w:hyperlink w:history="1" r:id="rId48vwxvyvnhombqsqn68n_">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oaths and jurats through commissioned Electronic Notaries Public and accredited facilities, subject to recipient acceptance (checked 2026-08-30)</w:t>
      </w:r>
    </w:p>
    <w:p>
      <w:pPr>
        <w:spacing w:after="120"/>
      </w:pPr>
      <w:hyperlink w:history="1" r:id="rIdhlfxxhd9ldczodablzggt">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10173 — Data Privacy Act of 2012 - Sections 11–13 and 20 — transparency, legitimate purpose, proportionality, lawful processing, accountability, and security for child, identity, custody, health, and financial records (checked 2026-08-30)</w:t>
      </w:r>
    </w:p>
    <w:p>
      <w:pPr>
        <w:spacing w:after="120"/>
      </w:pPr>
      <w:hyperlink w:history="1" r:id="rId_2b182cgiyczbueq62lm9">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lwuusrqj1gl2a0j_jff" Type="http://schemas.openxmlformats.org/officeDocument/2006/relationships/hyperlink" Target="https://mta.dswd.gov.ph/Home/FAQEn" TargetMode="External"/><Relationship Id="rIdk-bzmd7xns1ywaeflgo_u" Type="http://schemas.openxmlformats.org/officeDocument/2006/relationships/hyperlink" Target="https://web.archive.org/web/20250517231126/https://www.dswd.gov.ph/wp-content/uploads/2025/02/MC_2024-022.pdf" TargetMode="External"/><Relationship Id="rIdqkflcchnfvs2w9yhcurnt" Type="http://schemas.openxmlformats.org/officeDocument/2006/relationships/hyperlink" Target="https://lawphil.net/executive/execord/eo1987/eo_209_1987.html" TargetMode="External"/><Relationship Id="rIdnm8r--naojxrqdlgf3u5s" Type="http://schemas.openxmlformats.org/officeDocument/2006/relationships/hyperlink" Target="https://lawphil.net/statutes/repacts/ra2004/pdf/ra_9255_2004.pdf" TargetMode="External"/><Relationship Id="rId7kwowoblxbgola5a2z6pp" Type="http://schemas.openxmlformats.org/officeDocument/2006/relationships/hyperlink" Target="https://lawphil.net/statutes/repacts/ra2013/ra_10364_2013.html" TargetMode="External"/><Relationship Id="rIdm3owewbtejxa0d5cldncg" Type="http://schemas.openxmlformats.org/officeDocument/2006/relationships/hyperlink" Target="https://lawphil.net/statutes/repacts/ra2022/ra_11862_2022.html" TargetMode="External"/><Relationship Id="rIdbsswgykbs038uubm7ur59" Type="http://schemas.openxmlformats.org/officeDocument/2006/relationships/hyperlink" Target="https://lawphil.net/statutes/repacts/ra1992/ra_7610_1992.html" TargetMode="External"/><Relationship Id="rId48vwxvyvnhombqsqn68n_" Type="http://schemas.openxmlformats.org/officeDocument/2006/relationships/hyperlink" Target="https://sc.judiciary.gov.ph/wp-content/uploads/2022/08/02-08-13-SC-1.pdf" TargetMode="External"/><Relationship Id="rIdhlfxxhd9ldczodablzggt" Type="http://schemas.openxmlformats.org/officeDocument/2006/relationships/hyperlink" Target="https://sc.judiciary.gov.ph/24-10-14-sc-rules-on-electronic-notarization/" TargetMode="External"/><Relationship Id="rId_2b182cgiyczbueq62lm9" Type="http://schemas.openxmlformats.org/officeDocument/2006/relationships/hyperlink" Target="https://privacy.gov.ph/data-privacy-act/"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Support, Consent, and Parental Authorization for Minor Travel</dc:title>
  <dc:creator>LAW.PH</dc:creator>
  <dc:description>Free sample of the Child Travel Consent and Parental Authorization from LAW.PH, with fictional details</dc:description>
  <cp:lastModifiedBy>Un-named</cp:lastModifiedBy>
  <cp:revision>1</cp:revision>
  <dcterms:created xsi:type="dcterms:W3CDTF">2026-10-02T05:29:58.198Z</dcterms:created>
  <dcterms:modified xsi:type="dcterms:W3CDTF">2026-10-02T05:29:58.198Z</dcterms:modified>
</cp:coreProperties>
</file>

<file path=docProps/custom.xml><?xml version="1.0" encoding="utf-8"?>
<Properties xmlns="http://schemas.openxmlformats.org/officeDocument/2006/custom-properties" xmlns:vt="http://schemas.openxmlformats.org/officeDocument/2006/docPropsVTypes"/>
</file>