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COHABITATION PROPERTY AND EXPENSE AGREEMENT</w:t>
      </w:r>
    </w:p>
    <w:p>
      <w:pPr>
        <w:spacing w:after="160"/>
        <w:jc w:val="center"/>
      </w:pPr>
      <w:r>
        <w:rPr>
          <w:rFonts w:ascii="Calibri" w:cs="Calibri" w:eastAsia="Calibri" w:hAnsi="Calibri"/>
          <w:color w:val="566674"/>
          <w:sz w:val="18"/>
          <w:szCs w:val="18"/>
        </w:rPr>
        <w:t xml:space="preserve">Republic of the Philippines — Partners' property and expenses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family-lawyer review pending</w:t>
      </w:r>
    </w:p>
    <w:p>
      <w:pPr>
        <w:keepLines/>
        <w:spacing w:after="120" w:line="264"/>
        <w:jc w:val="both"/>
      </w:pPr>
      <w:r>
        <w:rPr>
          <w:rFonts w:ascii="Calibri" w:cs="Calibri" w:eastAsia="Calibri" w:hAnsi="Calibri"/>
          <w:sz w:val="22"/>
          <w:szCs w:val="22"/>
        </w:rPr>
        <w:t xml:space="preserve">This Cohabitation Property and Expense Agreement (the "Agreement") is made on September 27, 2026 at Quezon City, Philippines, between Maria Cristina Santos, of legal age, single, and Roberto Villanueva, of legal age, single, who live together at 45 Mabini Street, Quezon City 1100 and have done so since February 1, 2023 (together, the "Partners").</w:t>
      </w:r>
    </w:p>
    <w:p>
      <w:pPr>
        <w:pStyle w:val="Heading2"/>
        <w:keepNext/>
        <w:spacing w:after="120" w:before="240"/>
      </w:pPr>
      <w:r>
        <w:rPr>
          <w:rFonts w:ascii="Calibri" w:cs="Calibri" w:eastAsia="Calibri" w:hAnsi="Calibri"/>
          <w:b/>
          <w:bCs/>
          <w:color w:val="102B3F"/>
          <w:sz w:val="26"/>
          <w:szCs w:val="26"/>
        </w:rPr>
        <w:t xml:space="preserve">1. Purpose and limits</w:t>
      </w:r>
    </w:p>
    <w:p>
      <w:pPr>
        <w:keepLines/>
        <w:spacing w:after="120" w:line="264"/>
        <w:jc w:val="both"/>
      </w:pPr>
      <w:r>
        <w:rPr>
          <w:rFonts w:ascii="Calibri" w:cs="Calibri" w:eastAsia="Calibri" w:hAnsi="Calibri"/>
          <w:sz w:val="22"/>
          <w:szCs w:val="22"/>
        </w:rPr>
        <w:t xml:space="preserve">The Partners make this Agreement to record how they own property and share expenses while they live together, and how they will divide shared property if they separate.</w:t>
      </w:r>
    </w:p>
    <w:p>
      <w:pPr>
        <w:keepLines/>
        <w:spacing w:after="120" w:line="264"/>
        <w:jc w:val="both"/>
      </w:pPr>
      <w:r>
        <w:rPr>
          <w:rFonts w:ascii="Calibri" w:cs="Calibri" w:eastAsia="Calibri" w:hAnsi="Calibri"/>
          <w:sz w:val="22"/>
          <w:szCs w:val="22"/>
        </w:rPr>
        <w:t xml:space="preserve">This Agreement is not a marriage. It does not change either Partner's civil status and does not affect the legitimacy of any child, support, parental authority, or succession rights, which the law fixes and the Partners cannot change by agreement.</w:t>
      </w:r>
    </w:p>
    <w:p>
      <w:pPr>
        <w:pStyle w:val="Heading2"/>
        <w:keepNext/>
        <w:spacing w:after="120" w:before="240"/>
      </w:pPr>
      <w:r>
        <w:rPr>
          <w:rFonts w:ascii="Calibri" w:cs="Calibri" w:eastAsia="Calibri" w:hAnsi="Calibri"/>
          <w:b/>
          <w:bCs/>
          <w:color w:val="102B3F"/>
          <w:sz w:val="26"/>
          <w:szCs w:val="26"/>
        </w:rPr>
        <w:t xml:space="preserve">2. Legal route and shared property</w:t>
      </w:r>
    </w:p>
    <w:p>
      <w:pPr>
        <w:keepLines/>
        <w:spacing w:after="120" w:line="264"/>
        <w:jc w:val="both"/>
      </w:pPr>
      <w:r>
        <w:rPr>
          <w:rFonts w:ascii="Calibri" w:cs="Calibri" w:eastAsia="Calibri" w:hAnsi="Calibri"/>
          <w:sz w:val="22"/>
          <w:szCs w:val="22"/>
        </w:rPr>
        <w:t xml:space="preserve">The partners state that they are both free to marry each other and are living together as spouses without a marriage. Their property relations are governed by Article 147 of the Family Code.</w:t>
      </w:r>
    </w:p>
    <w:p>
      <w:pPr>
        <w:keepLines/>
        <w:spacing w:after="120" w:line="264"/>
        <w:jc w:val="both"/>
      </w:pPr>
      <w:r>
        <w:rPr>
          <w:rFonts w:ascii="Calibri" w:cs="Calibri" w:eastAsia="Calibri" w:hAnsi="Calibri"/>
          <w:sz w:val="22"/>
          <w:szCs w:val="22"/>
        </w:rPr>
        <w:t xml:space="preserve">Under Article 147, the partners' wages and salaries are owned in equal shares, and property they acquire through work or industry is co-owned. Unless proof shows otherwise, property acquired while they live together is presumed to come from their joint efforts and to be owned in equal shares. A partner who did not share in the acquisition is treated as having contributed jointly if that partner cared for the family and the household.</w:t>
      </w:r>
    </w:p>
    <w:p>
      <w:pPr>
        <w:keepLines/>
        <w:spacing w:after="120" w:line="264"/>
        <w:jc w:val="both"/>
      </w:pPr>
      <w:r>
        <w:rPr>
          <w:rFonts w:ascii="Calibri" w:cs="Calibri" w:eastAsia="Calibri" w:hAnsi="Calibri"/>
          <w:sz w:val="22"/>
          <w:szCs w:val="22"/>
        </w:rPr>
        <w:t xml:space="preserve">Until their cohabitation ends, neither Partner may encumber or dispose of that Partner's share in property acquired during the cohabitation and owned in common, by acts between living persons, without the other Partner's consent (Family Code, Article 147).</w:t>
      </w:r>
    </w:p>
    <w:p>
      <w:pPr>
        <w:keepLines/>
        <w:spacing w:after="120" w:line="264"/>
        <w:jc w:val="both"/>
      </w:pPr>
      <w:r>
        <w:rPr>
          <w:rFonts w:ascii="Calibri" w:cs="Calibri" w:eastAsia="Calibri" w:hAnsi="Calibri"/>
          <w:sz w:val="22"/>
          <w:szCs w:val="22"/>
        </w:rPr>
        <w:t xml:space="preserve">Consistent with Article 147, the Partners' wages and salaries, and the property they acquire by their joint efforts while living together, are owned in equal shares.</w:t>
      </w:r>
    </w:p>
    <w:p>
      <w:pPr>
        <w:keepLines/>
        <w:spacing w:after="120" w:line="264"/>
        <w:jc w:val="both"/>
      </w:pPr>
      <w:r>
        <w:rPr>
          <w:rFonts w:ascii="Calibri" w:cs="Calibri" w:eastAsia="Calibri" w:hAnsi="Calibri"/>
          <w:sz w:val="22"/>
          <w:szCs w:val="22"/>
        </w:rPr>
        <w:t xml:space="preserve">The Partners cannot agree to shares different from those the law gives them. A share larger than the law allows may be void as a gift between persons living together as spouses without a valid marriage (Family Code, Article 87).</w:t>
      </w:r>
    </w:p>
    <w:p>
      <w:pPr>
        <w:keepLines/>
        <w:spacing w:after="120" w:line="264"/>
        <w:jc w:val="both"/>
      </w:pPr>
      <w:r>
        <w:rPr>
          <w:rFonts w:ascii="Calibri" w:cs="Calibri" w:eastAsia="Calibri" w:hAnsi="Calibri"/>
          <w:sz w:val="22"/>
          <w:szCs w:val="22"/>
        </w:rPr>
        <w:t xml:space="preserve">Each Partner shall keep receipts, transfer records, and other proof of what that Partner paid for each shared asset.</w:t>
      </w:r>
    </w:p>
    <w:p>
      <w:pPr>
        <w:pStyle w:val="Heading2"/>
        <w:keepNext/>
        <w:spacing w:after="120" w:before="240"/>
      </w:pPr>
      <w:r>
        <w:rPr>
          <w:rFonts w:ascii="Calibri" w:cs="Calibri" w:eastAsia="Calibri" w:hAnsi="Calibri"/>
          <w:b/>
          <w:bCs/>
          <w:color w:val="102B3F"/>
          <w:sz w:val="26"/>
          <w:szCs w:val="26"/>
        </w:rPr>
        <w:t xml:space="preserve">3. Separate property</w:t>
      </w:r>
    </w:p>
    <w:p>
      <w:pPr>
        <w:keepLines/>
        <w:spacing w:after="120" w:line="264"/>
        <w:jc w:val="both"/>
      </w:pPr>
      <w:r>
        <w:rPr>
          <w:rFonts w:ascii="Calibri" w:cs="Calibri" w:eastAsia="Calibri" w:hAnsi="Calibri"/>
          <w:sz w:val="22"/>
          <w:szCs w:val="22"/>
        </w:rPr>
        <w:t xml:space="preserve">Maria Cristina Santos's separate property, which stays with Maria Cristina Santos: A condominium unit in Quezon City acquired before living together, and personal savings held in the first partner's own accounts.</w:t>
      </w:r>
    </w:p>
    <w:p>
      <w:pPr>
        <w:keepLines/>
        <w:spacing w:after="120" w:line="264"/>
        <w:jc w:val="both"/>
      </w:pPr>
      <w:r>
        <w:rPr>
          <w:rFonts w:ascii="Calibri" w:cs="Calibri" w:eastAsia="Calibri" w:hAnsi="Calibri"/>
          <w:sz w:val="22"/>
          <w:szCs w:val="22"/>
        </w:rPr>
        <w:t xml:space="preserve">Roberto Villanueva's separate property, which stays with Roberto Villanueva: A motorcycle and personal savings held in the second partner's own accounts.</w:t>
      </w:r>
    </w:p>
    <w:p>
      <w:pPr>
        <w:keepLines/>
        <w:spacing w:after="120" w:line="264"/>
        <w:jc w:val="both"/>
      </w:pPr>
      <w:r>
        <w:rPr>
          <w:rFonts w:ascii="Calibri" w:cs="Calibri" w:eastAsia="Calibri" w:hAnsi="Calibri"/>
          <w:sz w:val="22"/>
          <w:szCs w:val="22"/>
        </w:rPr>
        <w:t xml:space="preserve">Property that a Partner owned before living together, or received by inheritance or as a gift from a third person, remains that Partner's own unless the Partners agree in writing to make it shared.</w:t>
      </w:r>
    </w:p>
    <w:p>
      <w:pPr>
        <w:pStyle w:val="Heading2"/>
        <w:keepNext/>
        <w:spacing w:after="120" w:before="240"/>
      </w:pPr>
      <w:r>
        <w:rPr>
          <w:rFonts w:ascii="Calibri" w:cs="Calibri" w:eastAsia="Calibri" w:hAnsi="Calibri"/>
          <w:b/>
          <w:bCs/>
          <w:color w:val="102B3F"/>
          <w:sz w:val="26"/>
          <w:szCs w:val="26"/>
        </w:rPr>
        <w:t xml:space="preserve">4. Titles and records</w:t>
      </w:r>
    </w:p>
    <w:p>
      <w:pPr>
        <w:keepLines/>
        <w:spacing w:after="120" w:line="264"/>
        <w:jc w:val="both"/>
      </w:pPr>
      <w:r>
        <w:rPr>
          <w:rFonts w:ascii="Calibri" w:cs="Calibri" w:eastAsia="Calibri" w:hAnsi="Calibri"/>
          <w:sz w:val="22"/>
          <w:szCs w:val="22"/>
        </w:rPr>
        <w:t xml:space="preserve">Shared real property and vehicles shall be titled in both Partners' names.</w:t>
      </w:r>
    </w:p>
    <w:p>
      <w:pPr>
        <w:keepLines/>
        <w:spacing w:after="120" w:line="264"/>
        <w:jc w:val="both"/>
      </w:pPr>
      <w:r>
        <w:rPr>
          <w:rFonts w:ascii="Calibri" w:cs="Calibri" w:eastAsia="Calibri" w:hAnsi="Calibri"/>
          <w:sz w:val="22"/>
          <w:szCs w:val="22"/>
        </w:rPr>
        <w:t xml:space="preserve">Contributions are recorded as contributions and not as gifts. Every donation or grant of gratuitous advantage between persons living together as spouses without a valid marriage is void, except moderate gifts on occasions of family rejoicing (Family Code, Article 87). A Partner's payment toward a shared asset is therefore a contribution to shared ownership and not a gift.</w:t>
      </w:r>
    </w:p>
    <w:p>
      <w:pPr>
        <w:pStyle w:val="Heading2"/>
        <w:keepNext/>
        <w:spacing w:after="120" w:before="240"/>
      </w:pPr>
      <w:r>
        <w:rPr>
          <w:rFonts w:ascii="Calibri" w:cs="Calibri" w:eastAsia="Calibri" w:hAnsi="Calibri"/>
          <w:b/>
          <w:bCs/>
          <w:color w:val="102B3F"/>
          <w:sz w:val="26"/>
          <w:szCs w:val="26"/>
        </w:rPr>
        <w:t xml:space="preserve">5. Household expenses</w:t>
      </w:r>
    </w:p>
    <w:p>
      <w:pPr>
        <w:keepLines/>
        <w:spacing w:after="120" w:line="264"/>
        <w:jc w:val="both"/>
      </w:pPr>
      <w:r>
        <w:rPr>
          <w:rFonts w:ascii="Calibri" w:cs="Calibri" w:eastAsia="Calibri" w:hAnsi="Calibri"/>
          <w:sz w:val="22"/>
          <w:szCs w:val="22"/>
        </w:rPr>
        <w:t xml:space="preserve">The Partners shall share the household expenses 55% for Maria Cristina Santos and 45% for Roberto Villanueva.</w:t>
      </w:r>
    </w:p>
    <w:p>
      <w:pPr>
        <w:keepLines/>
        <w:spacing w:after="120" w:line="264"/>
        <w:jc w:val="both"/>
      </w:pPr>
      <w:r>
        <w:rPr>
          <w:rFonts w:ascii="Calibri" w:cs="Calibri" w:eastAsia="Calibri" w:hAnsi="Calibri"/>
          <w:sz w:val="22"/>
          <w:szCs w:val="22"/>
        </w:rPr>
        <w:t xml:space="preserve">Shared household expenses cover: Rent, utilities, groceries, internet, and household repairs.</w:t>
      </w:r>
    </w:p>
    <w:p>
      <w:pPr>
        <w:keepLines/>
        <w:spacing w:after="120" w:line="264"/>
        <w:jc w:val="both"/>
      </w:pPr>
      <w:r>
        <w:rPr>
          <w:rFonts w:ascii="Calibri" w:cs="Calibri" w:eastAsia="Calibri" w:hAnsi="Calibri"/>
          <w:sz w:val="22"/>
          <w:szCs w:val="22"/>
        </w:rPr>
        <w:t xml:space="preserve">The Partners shall keep a joint account with BDO Unibank for these expenses and shall each deposit their share on or before the due date each month.</w:t>
      </w:r>
    </w:p>
    <w:p>
      <w:pPr>
        <w:keepLines/>
        <w:spacing w:after="120" w:line="264"/>
        <w:jc w:val="both"/>
      </w:pPr>
      <w:r>
        <w:rPr>
          <w:rFonts w:ascii="Calibri" w:cs="Calibri" w:eastAsia="Calibri" w:hAnsi="Calibri"/>
          <w:sz w:val="22"/>
          <w:szCs w:val="22"/>
        </w:rPr>
        <w:t xml:space="preserve">This expense split covers household living expenses only. The charges of co-owned property, such as loan amortization, real property tax, insurance, and association dues, are borne by the Partners in proportion to their ownership shares, and any stipulation to the contrary is void (Civil Code, Article 485).</w:t>
      </w:r>
    </w:p>
    <w:p>
      <w:pPr>
        <w:pStyle w:val="Heading2"/>
        <w:keepNext/>
        <w:spacing w:after="120" w:before="240"/>
      </w:pPr>
      <w:r>
        <w:rPr>
          <w:rFonts w:ascii="Calibri" w:cs="Calibri" w:eastAsia="Calibri" w:hAnsi="Calibri"/>
          <w:b/>
          <w:bCs/>
          <w:color w:val="102B3F"/>
          <w:sz w:val="26"/>
          <w:szCs w:val="26"/>
        </w:rPr>
        <w:t xml:space="preserve">6. Debts</w:t>
      </w:r>
    </w:p>
    <w:p>
      <w:pPr>
        <w:keepLines/>
        <w:spacing w:after="120" w:line="264"/>
        <w:jc w:val="both"/>
      </w:pPr>
      <w:r>
        <w:rPr>
          <w:rFonts w:ascii="Calibri" w:cs="Calibri" w:eastAsia="Calibri" w:hAnsi="Calibri"/>
          <w:sz w:val="22"/>
          <w:szCs w:val="22"/>
        </w:rPr>
        <w:t xml:space="preserve">Each Partner is responsible for that Partner's own debts, and no Partner is liable for the other's.</w:t>
      </w:r>
    </w:p>
    <w:p>
      <w:pPr>
        <w:keepLines/>
        <w:spacing w:after="120" w:line="264"/>
        <w:jc w:val="both"/>
      </w:pPr>
      <w:r>
        <w:rPr>
          <w:rFonts w:ascii="Calibri" w:cs="Calibri" w:eastAsia="Calibri" w:hAnsi="Calibri"/>
          <w:sz w:val="22"/>
          <w:szCs w:val="22"/>
        </w:rPr>
        <w:t xml:space="preserve">This Section binds only the Partners between themselves. It does not limit any creditor's rights against either Partner.</w:t>
      </w:r>
    </w:p>
    <w:p>
      <w:pPr>
        <w:pStyle w:val="Heading2"/>
        <w:keepNext/>
        <w:spacing w:after="120" w:before="240"/>
      </w:pPr>
      <w:r>
        <w:rPr>
          <w:rFonts w:ascii="Calibri" w:cs="Calibri" w:eastAsia="Calibri" w:hAnsi="Calibri"/>
          <w:b/>
          <w:bCs/>
          <w:color w:val="102B3F"/>
          <w:sz w:val="26"/>
          <w:szCs w:val="26"/>
        </w:rPr>
        <w:t xml:space="preserve">7. Children</w:t>
      </w:r>
    </w:p>
    <w:p>
      <w:pPr>
        <w:keepLines/>
        <w:spacing w:after="120" w:line="264"/>
        <w:jc w:val="both"/>
      </w:pPr>
      <w:r>
        <w:rPr>
          <w:rFonts w:ascii="Calibri" w:cs="Calibri" w:eastAsia="Calibri" w:hAnsi="Calibri"/>
          <w:sz w:val="22"/>
          <w:szCs w:val="22"/>
        </w:rPr>
        <w:t xml:space="preserve">Support for, and parental authority over, any child of either Partner is governed by law and is not affected by this Agreement.</w:t>
      </w:r>
    </w:p>
    <w:p>
      <w:pPr>
        <w:pStyle w:val="Heading2"/>
        <w:keepNext/>
        <w:spacing w:after="120" w:before="240"/>
      </w:pPr>
      <w:r>
        <w:rPr>
          <w:rFonts w:ascii="Calibri" w:cs="Calibri" w:eastAsia="Calibri" w:hAnsi="Calibri"/>
          <w:b/>
          <w:bCs/>
          <w:color w:val="102B3F"/>
          <w:sz w:val="26"/>
          <w:szCs w:val="26"/>
        </w:rPr>
        <w:t xml:space="preserve">8. If the Partners separate</w:t>
      </w:r>
    </w:p>
    <w:p>
      <w:pPr>
        <w:keepLines/>
        <w:spacing w:after="120" w:line="264"/>
        <w:jc w:val="both"/>
      </w:pPr>
      <w:r>
        <w:rPr>
          <w:rFonts w:ascii="Calibri" w:cs="Calibri" w:eastAsia="Calibri" w:hAnsi="Calibri"/>
          <w:sz w:val="22"/>
          <w:szCs w:val="22"/>
        </w:rPr>
        <w:t xml:space="preserve">A Partner who intends to move out shall give the other at least 60 days' written notice.</w:t>
      </w:r>
    </w:p>
    <w:p>
      <w:pPr>
        <w:keepLines/>
        <w:spacing w:after="120" w:line="264"/>
        <w:jc w:val="both"/>
      </w:pPr>
      <w:r>
        <w:rPr>
          <w:rFonts w:ascii="Calibri" w:cs="Calibri" w:eastAsia="Calibri" w:hAnsi="Calibri"/>
          <w:sz w:val="22"/>
          <w:szCs w:val="22"/>
        </w:rPr>
        <w:t xml:space="preserve">Shared property shall be sold, and the net proceeds divided by the Partners' ownership shares.</w:t>
      </w:r>
    </w:p>
    <w:p>
      <w:pPr>
        <w:keepLines/>
        <w:spacing w:after="120" w:line="264"/>
        <w:jc w:val="both"/>
      </w:pPr>
      <w:r>
        <w:rPr>
          <w:rFonts w:ascii="Calibri" w:cs="Calibri" w:eastAsia="Calibri" w:hAnsi="Calibri"/>
          <w:sz w:val="22"/>
          <w:szCs w:val="22"/>
        </w:rPr>
        <w:t xml:space="preserve">Separate property stays with its owner.</w:t>
      </w:r>
    </w:p>
    <w:p>
      <w:pPr>
        <w:pStyle w:val="Heading2"/>
        <w:keepNext/>
        <w:spacing w:after="120" w:before="240"/>
      </w:pPr>
      <w:r>
        <w:rPr>
          <w:rFonts w:ascii="Calibri" w:cs="Calibri" w:eastAsia="Calibri" w:hAnsi="Calibri"/>
          <w:b/>
          <w:bCs/>
          <w:color w:val="102B3F"/>
          <w:sz w:val="26"/>
          <w:szCs w:val="26"/>
        </w:rPr>
        <w:t xml:space="preserve">9. Disputes and general terms</w:t>
      </w:r>
    </w:p>
    <w:p>
      <w:pPr>
        <w:keepLines/>
        <w:spacing w:after="120" w:line="264"/>
        <w:jc w:val="both"/>
      </w:pPr>
      <w:r>
        <w:rPr>
          <w:rFonts w:ascii="Calibri" w:cs="Calibri" w:eastAsia="Calibri" w:hAnsi="Calibri"/>
          <w:sz w:val="22"/>
          <w:szCs w:val="22"/>
        </w:rPr>
        <w:t xml:space="preserve">The partners shall first try in good faith to settle any dispute by mediation before filing a court action, without preventing either from asking a court for urgent relief.</w:t>
      </w:r>
    </w:p>
    <w:p>
      <w:pPr>
        <w:keepLines/>
        <w:spacing w:after="120" w:line="264"/>
        <w:jc w:val="both"/>
      </w:pPr>
      <w:r>
        <w:rPr>
          <w:rFonts w:ascii="Calibri" w:cs="Calibri" w:eastAsia="Calibri" w:hAnsi="Calibri"/>
          <w:sz w:val="22"/>
          <w:szCs w:val="22"/>
        </w:rPr>
        <w:t xml:space="preserve">This Agreement is the whole agreement of the Partners on these matters. If any provision is held invalid, the rest remains in force. Philippine law governs.</w:t>
      </w:r>
    </w:p>
    <w:p>
      <w:pPr>
        <w:keepNext/>
        <w:spacing w:after="260" w:before="360"/>
      </w:pPr>
      <w:r>
        <w:rPr>
          <w:rFonts w:ascii="Calibri" w:cs="Calibri" w:eastAsia="Calibri" w:hAnsi="Calibri"/>
          <w:b/>
          <w:bCs/>
          <w:sz w:val="22"/>
          <w:szCs w:val="22"/>
        </w:rPr>
        <w:t xml:space="preserve">IN WITNESS WHEREOF, the Partners have signed this Agreement on September 27, 2026 at Quezon City, Philippines.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PARTNER</w:t>
            </w:r>
          </w:p>
          <w:p>
            <w:pPr>
              <w:spacing w:after="120"/>
            </w:pPr>
            <w:r>
              <w:rPr>
                <w:rFonts w:ascii="Calibri" w:cs="Calibri" w:eastAsia="Calibri" w:hAnsi="Calibri"/>
                <w:sz w:val="22"/>
                <w:szCs w:val="22"/>
              </w:rPr>
              <w:t xml:space="preserve">Maria Cristina Santos
Signature over printed name: ______________________________</w:t>
            </w:r>
          </w:p>
          <w:p>
            <w:pPr>
              <w:spacing w:after="120"/>
            </w:pPr>
            <w:r>
              <w:rPr>
                <w:rFonts w:ascii="Calibri" w:cs="Calibri" w:eastAsia="Calibri" w:hAnsi="Calibri"/>
                <w:sz w:val="22"/>
                <w:szCs w:val="22"/>
              </w:rPr>
              <w:t xml:space="preserve">First Partner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PARTNER</w:t>
            </w:r>
          </w:p>
          <w:p>
            <w:pPr>
              <w:spacing w:after="120"/>
            </w:pPr>
            <w:r>
              <w:rPr>
                <w:rFonts w:ascii="Calibri" w:cs="Calibri" w:eastAsia="Calibri" w:hAnsi="Calibri"/>
                <w:sz w:val="22"/>
                <w:szCs w:val="22"/>
              </w:rPr>
              <w:t xml:space="preserve">Roberto Villanueva
Signature over printed name: ______________________________</w:t>
            </w:r>
          </w:p>
          <w:p>
            <w:pPr>
              <w:spacing w:after="120"/>
            </w:pPr>
            <w:r>
              <w:rPr>
                <w:rFonts w:ascii="Calibri" w:cs="Calibri" w:eastAsia="Calibri" w:hAnsi="Calibri"/>
                <w:sz w:val="22"/>
                <w:szCs w:val="22"/>
              </w:rPr>
              <w:t xml:space="preserve">Second Partner</w:t>
            </w:r>
          </w:p>
          <w:p>
            <w:r>
              <w:rPr>
                <w:rFonts w:ascii="Calibri" w:cs="Calibri" w:eastAsia="Calibri" w:hAnsi="Calibri"/>
                <w:sz w:val="22"/>
                <w:szCs w:val="22"/>
              </w:rPr>
              <w:t xml:space="preserve">Date: ______________________________</w:t>
            </w:r>
          </w:p>
        </w:tc>
      </w:tr>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WITNESS</w:t>
            </w:r>
          </w:p>
          <w:p>
            <w:pPr>
              <w:spacing w:after="120"/>
            </w:pPr>
            <w:r>
              <w:rPr>
                <w:rFonts w:ascii="Calibri" w:cs="Calibri" w:eastAsia="Calibri" w:hAnsi="Calibri"/>
                <w:sz w:val="22"/>
                <w:szCs w:val="22"/>
              </w:rPr>
              <w:t xml:space="preserve">Alfredo N. Mercado
Signature over printed name: ______________________________</w:t>
            </w:r>
          </w:p>
          <w:p>
            <w:pPr>
              <w:spacing w:after="120"/>
            </w:pPr>
            <w:r>
              <w:rPr>
                <w:rFonts w:ascii="Calibri" w:cs="Calibri" w:eastAsia="Calibri" w:hAnsi="Calibri"/>
                <w:sz w:val="22"/>
                <w:szCs w:val="22"/>
              </w:rPr>
              <w:t xml:space="preserve">Witness</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WITNESS</w:t>
            </w:r>
          </w:p>
          <w:p>
            <w:pPr>
              <w:spacing w:after="120"/>
            </w:pPr>
            <w:r>
              <w:rPr>
                <w:rFonts w:ascii="Calibri" w:cs="Calibri" w:eastAsia="Calibri" w:hAnsi="Calibri"/>
                <w:sz w:val="22"/>
                <w:szCs w:val="22"/>
              </w:rPr>
              <w:t xml:space="preserve">Josefina C. Aquino
Signature over printed name: ______________________________</w:t>
            </w:r>
          </w:p>
          <w:p>
            <w:pPr>
              <w:spacing w:after="120"/>
            </w:pPr>
            <w:r>
              <w:rPr>
                <w:rFonts w:ascii="Calibri" w:cs="Calibri" w:eastAsia="Calibri" w:hAnsi="Calibri"/>
                <w:sz w:val="22"/>
                <w:szCs w:val="22"/>
              </w:rPr>
              <w:t xml:space="preserve">Witness</w:t>
            </w:r>
          </w:p>
          <w:p>
            <w:r>
              <w:rPr>
                <w:rFonts w:ascii="Calibri" w:cs="Calibri" w:eastAsia="Calibri" w:hAnsi="Calibri"/>
                <w:sz w:val="22"/>
                <w:szCs w:val="22"/>
              </w:rPr>
              <w:t xml:space="preserve">Date: ______________________________</w:t>
            </w:r>
          </w:p>
        </w:tc>
      </w:tr>
    </w:tbl>
    <w:p>
      <w:pPr>
        <w:pStyle w:val="Heading2"/>
        <w:keepNext/>
        <w:spacing w:after="120" w:before="240"/>
      </w:pPr>
      <w:r>
        <w:rPr>
          <w:rFonts w:ascii="Calibri" w:cs="Calibri" w:eastAsia="Calibri" w:hAnsi="Calibri"/>
          <w:b/>
          <w:bCs/>
          <w:color w:val="102B3F"/>
          <w:sz w:val="26"/>
          <w:szCs w:val="26"/>
        </w:rPr>
        <w:t xml:space="preserve">ACKNOWLEDGMENT — FOR THE NOTARIAL OFFICER TO COMPLETE</w:t>
      </w:r>
    </w:p>
    <w:p>
      <w:pPr>
        <w:keepLines/>
        <w:spacing w:after="120" w:line="264"/>
        <w:jc w:val="both"/>
      </w:pPr>
      <w:r>
        <w:rPr>
          <w:rFonts w:ascii="Calibri" w:cs="Calibri" w:eastAsia="Calibri" w:hAnsi="Calibri"/>
          <w:sz w:val="22"/>
          <w:szCs w:val="22"/>
        </w:rPr>
        <w:t xml:space="preserve">BEFORE ME, a Notary Public for and in Quezon City, Philippines, on __________________, personally appeared Maria Cristina Santos and Roberto Villanueva, identified through competent evidence of identity, ID No(s). __________________ / issued at and on __________________ / valid until __________________, known to me and to me known to be the same person(s) who executed this Cohabitation Property and Expense Agreement and acknowledged that it is their free and voluntary act and deed.</w:t>
      </w:r>
    </w:p>
    <w:p>
      <w:pPr>
        <w:keepLines/>
        <w:spacing w:after="120" w:line="264"/>
        <w:jc w:val="both"/>
      </w:pPr>
      <w:r>
        <w:rPr>
          <w:rFonts w:ascii="Calibri" w:cs="Calibri" w:eastAsia="Calibri" w:hAnsi="Calibri"/>
          <w:sz w:val="22"/>
          <w:szCs w:val="22"/>
        </w:rPr>
        <w:t xml:space="preserve">NOTARY PUBLIC
Commission No.: __________________
PTR / IBP / Roll details: __________________
Office address: __________________
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This agreement cannot change marital status, the legitimacy of children, support, parental authority, or succession rights. A partner is not an heir of the other unless named in a will, so consider wills and beneficiary designations separately.</w:t>
      </w:r>
    </w:p>
    <w:p>
      <w:pPr>
        <w:pStyle w:val="ListParagraph"/>
        <w:keepNext/>
        <w:numPr>
          <w:ilvl w:val="0"/>
          <w:numId w:val="1"/>
        </w:numPr>
        <w:spacing w:after="120" w:line="264"/>
      </w:pPr>
      <w:r>
        <w:rPr>
          <w:rFonts w:ascii="Calibri" w:cs="Calibri" w:eastAsia="Calibri" w:hAnsi="Calibri"/>
          <w:sz w:val="22"/>
          <w:szCs w:val="22"/>
        </w:rPr>
        <w:t xml:space="preserve">Which Family Code article applies depends on the facts, above all on whether both partners are free to marry each other. This generator is not available if either partner is married to someone else; see a family lawyer in that case. Take legal advice before signing.</w:t>
      </w:r>
    </w:p>
    <w:p>
      <w:pPr>
        <w:pStyle w:val="ListParagraph"/>
        <w:keepNext/>
        <w:numPr>
          <w:ilvl w:val="0"/>
          <w:numId w:val="1"/>
        </w:numPr>
        <w:spacing w:after="120" w:line="264"/>
      </w:pPr>
      <w:r>
        <w:rPr>
          <w:rFonts w:ascii="Calibri" w:cs="Calibri" w:eastAsia="Calibri" w:hAnsi="Calibri"/>
          <w:sz w:val="22"/>
          <w:szCs w:val="22"/>
        </w:rPr>
        <w:t xml:space="preserve">Record contributions carefully. Keep receipts, bank transfers, and who paid what for each asset. In an Article 148 union only actual contributions count, and a partner who contributes nothing gets no share. The shares the law gives cannot be changed by agreement.</w:t>
      </w:r>
    </w:p>
    <w:p>
      <w:pPr>
        <w:pStyle w:val="ListParagraph"/>
        <w:keepNext/>
        <w:numPr>
          <w:ilvl w:val="0"/>
          <w:numId w:val="1"/>
        </w:numPr>
        <w:spacing w:after="120" w:line="264"/>
      </w:pPr>
      <w:r>
        <w:rPr>
          <w:rFonts w:ascii="Calibri" w:cs="Calibri" w:eastAsia="Calibri" w:hAnsi="Calibri"/>
          <w:sz w:val="22"/>
          <w:szCs w:val="22"/>
        </w:rPr>
        <w:t xml:space="preserve">Title shared real property and vehicles in both names, and keep separate-property records. Register changes at the Registry of Deeds or the LTO where needed.</w:t>
      </w:r>
    </w:p>
    <w:p>
      <w:pPr>
        <w:pStyle w:val="ListParagraph"/>
        <w:keepNext/>
        <w:numPr>
          <w:ilvl w:val="0"/>
          <w:numId w:val="1"/>
        </w:numPr>
        <w:spacing w:after="120" w:line="264"/>
      </w:pPr>
      <w:r>
        <w:rPr>
          <w:rFonts w:ascii="Calibri" w:cs="Calibri" w:eastAsia="Calibri" w:hAnsi="Calibri"/>
          <w:sz w:val="22"/>
          <w:szCs w:val="22"/>
        </w:rPr>
        <w:t xml:space="preserve">Gifts between partners living together as spouses without a valid marriage are void, except moderate gifts on occasions of family rejoicing (Family Code Art. 87). Treat money put toward a shared asset as a contribution, not a gift, and record it that way.</w:t>
      </w:r>
    </w:p>
    <w:p>
      <w:pPr>
        <w:pStyle w:val="ListParagraph"/>
        <w:keepNext/>
        <w:numPr>
          <w:ilvl w:val="0"/>
          <w:numId w:val="1"/>
        </w:numPr>
        <w:spacing w:after="120" w:line="264"/>
      </w:pPr>
      <w:r>
        <w:rPr>
          <w:rFonts w:ascii="Calibri" w:cs="Calibri" w:eastAsia="Calibri" w:hAnsi="Calibri"/>
          <w:sz w:val="22"/>
          <w:szCs w:val="22"/>
        </w:rPr>
        <w:t xml:space="preserve">Loan amortization, real property tax, and other charges of co-owned property must follow the ownership shares (Civil Code Art. 485). The household expense split covers living expenses only.</w:t>
      </w:r>
    </w:p>
    <w:p>
      <w:pPr>
        <w:pStyle w:val="ListParagraph"/>
        <w:keepNext/>
        <w:numPr>
          <w:ilvl w:val="0"/>
          <w:numId w:val="1"/>
        </w:numPr>
        <w:spacing w:after="120" w:line="264"/>
      </w:pPr>
      <w:r>
        <w:rPr>
          <w:rFonts w:ascii="Calibri" w:cs="Calibri" w:eastAsia="Calibri" w:hAnsi="Calibri"/>
          <w:sz w:val="22"/>
          <w:szCs w:val="22"/>
        </w:rPr>
        <w:t xml:space="preserve">Do not use this agreement to hide assets or avoid creditors. A transfer made to defraud creditors can be rescinded, and this agreement does not bind creditors.</w:t>
      </w:r>
    </w:p>
    <w:p>
      <w:pPr>
        <w:pStyle w:val="ListParagraph"/>
        <w:keepNext/>
        <w:numPr>
          <w:ilvl w:val="0"/>
          <w:numId w:val="1"/>
        </w:numPr>
        <w:spacing w:after="120" w:line="264"/>
      </w:pPr>
      <w:r>
        <w:rPr>
          <w:rFonts w:ascii="Calibri" w:cs="Calibri" w:eastAsia="Calibri" w:hAnsi="Calibri"/>
          <w:sz w:val="22"/>
          <w:szCs w:val="22"/>
        </w:rPr>
        <w:t xml:space="preserve">Each partner stays liable to third parties for their own debts. The debt terms here only allocate responsibility between the partners.</w:t>
      </w:r>
    </w:p>
    <w:p>
      <w:pPr>
        <w:pStyle w:val="ListParagraph"/>
        <w:keepNext/>
        <w:numPr>
          <w:ilvl w:val="0"/>
          <w:numId w:val="1"/>
        </w:numPr>
        <w:spacing w:after="120" w:line="264"/>
      </w:pPr>
      <w:r>
        <w:rPr>
          <w:rFonts w:ascii="Calibri" w:cs="Calibri" w:eastAsia="Calibri" w:hAnsi="Calibri"/>
          <w:sz w:val="22"/>
          <w:szCs w:val="22"/>
        </w:rPr>
        <w:t xml:space="preserve">Support for and parental authority over children follow the law whatever this agreement says. Do not use it to trade away a child's rights.</w:t>
      </w:r>
    </w:p>
    <w:p>
      <w:pPr>
        <w:pStyle w:val="ListParagraph"/>
        <w:keepNext/>
        <w:numPr>
          <w:ilvl w:val="0"/>
          <w:numId w:val="1"/>
        </w:numPr>
        <w:spacing w:after="120" w:line="264"/>
      </w:pPr>
      <w:r>
        <w:rPr>
          <w:rFonts w:ascii="Calibri" w:cs="Calibri" w:eastAsia="Calibri" w:hAnsi="Calibri"/>
          <w:sz w:val="22"/>
          <w:szCs w:val="22"/>
        </w:rPr>
        <w:t xml:space="preserve">Notarize the agreement, and let each partner take separate legal advice. Keep signed copies and update the agreement when the partners buy property or their circumstances change. Electronic notarization becomes available only once the Supreme Court's electronic notarization launches (announced for 19 October 2026), and only before an electronic notary public commissioned by the Supreme Court.</w:t>
      </w:r>
    </w:p>
    <w:p>
      <w:pPr>
        <w:pStyle w:val="ListParagraph"/>
        <w:keepNext w:val="false"/>
        <w:numPr>
          <w:ilvl w:val="0"/>
          <w:numId w:val="1"/>
        </w:numPr>
        <w:spacing w:after="120" w:line="264"/>
      </w:pPr>
      <w:r>
        <w:rPr>
          <w:rFonts w:ascii="Calibri" w:cs="Calibri" w:eastAsia="Calibri" w:hAnsi="Calibri"/>
          <w:sz w:val="22"/>
          <w:szCs w:val="22"/>
        </w:rPr>
        <w:t xml:space="preserve">Use a Philippine family or property lawyer for real property, a business, foreign elements, an existing marriage, or any dispute about ownership.</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2026-10-01 onward, subject to the recorded review cycle | Independent Philippine family-lawyer review pending | Last legal check 2026-10-01 | Next review due 2026-12-01</w:t>
      </w:r>
    </w:p>
    <w:p>
      <w:pPr>
        <w:keepNext/>
        <w:spacing w:after="60" w:before="100"/>
      </w:pPr>
      <w:r>
        <w:rPr>
          <w:rFonts w:ascii="Calibri" w:cs="Calibri" w:eastAsia="Calibri" w:hAnsi="Calibri"/>
          <w:b/>
          <w:bCs/>
          <w:sz w:val="18"/>
          <w:szCs w:val="18"/>
        </w:rPr>
        <w:t xml:space="preserve">Family Code of the Philippines (Executive Order No. 209) - Arts. 147–148 (property relations of unions without marriage): equal shares, co-ownership, and the bar on disposing of a share without consent under Art. 147; actual joint contribution, accrual to a valid marriage, and forfeiture under Art. 148; Art. 87 (void donations and gratuitous advantages, also between persons living together without a valid marriage) (checked 2026-10-01)</w:t>
      </w:r>
    </w:p>
    <w:p>
      <w:pPr>
        <w:spacing w:after="120"/>
      </w:pPr>
      <w:hyperlink w:history="1" r:id="rIdimhoohujp59lqklnsldcs">
        <w:r>
          <w:rPr>
            <w:rFonts w:ascii="Calibri" w:cs="Calibri" w:eastAsia="Calibri" w:hAnsi="Calibri"/>
            <w:color w:val="315B75"/>
            <w:sz w:val="17"/>
            <w:szCs w:val="17"/>
            <w:u w:val="single"/>
          </w:rPr>
          <w:t xml:space="preserve">https://lawphil.net/executive/execord/eo1987/eo_209_1987.html</w:t>
        </w:r>
      </w:hyperlink>
    </w:p>
    <w:p>
      <w:pPr>
        <w:keepNext/>
        <w:spacing w:after="60" w:before="100"/>
      </w:pPr>
      <w:r>
        <w:rPr>
          <w:rFonts w:ascii="Calibri" w:cs="Calibri" w:eastAsia="Calibri" w:hAnsi="Calibri"/>
          <w:b/>
          <w:bCs/>
          <w:sz w:val="18"/>
          <w:szCs w:val="18"/>
        </w:rPr>
        <w:t xml:space="preserve">Civil Code of the Philippines (Republic Act No. 386) - Arts. 484–501 (co-ownership) including Art. 485 (charges in proportion to shares; presumed equal shares) and Art. 494 (partition, and agreement not to partition for up to ten years); Art. 739 (donations between persons guilty of adultery or concubinage are void); Art. 1306 (limits on contract terms); Art. 1409 (contracts contrary to morals or public policy are void) (checked 2026-10-01)</w:t>
      </w:r>
    </w:p>
    <w:p>
      <w:pPr>
        <w:spacing w:after="120"/>
      </w:pPr>
      <w:hyperlink w:history="1" r:id="rId7qqoa1kgxqfhfrebb7qwz">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Revised Penal Code (Act No. 3815) - Arts. 333–334 (adultery and concubinage), the reason this generator does not prepare an agreement for a partner married to someone else (checked 2026-10-01)</w:t>
      </w:r>
    </w:p>
    <w:p>
      <w:pPr>
        <w:spacing w:after="120"/>
      </w:pPr>
      <w:hyperlink w:history="1" r:id="rIdegvgnraijyh2alhx_hlob">
        <w:r>
          <w:rPr>
            <w:rFonts w:ascii="Calibri" w:cs="Calibri" w:eastAsia="Calibri" w:hAnsi="Calibri"/>
            <w:color w:val="315B75"/>
            <w:sz w:val="17"/>
            <w:szCs w:val="17"/>
            <w:u w:val="single"/>
          </w:rPr>
          <w:t xml:space="preserve">https://lawphil.net/statutes/acts/act1930/act_3815_1930.html</w:t>
        </w:r>
      </w:hyperlink>
    </w:p>
    <w:p>
      <w:pPr>
        <w:keepNext/>
        <w:spacing w:after="60" w:before="100"/>
      </w:pPr>
      <w:r>
        <w:rPr>
          <w:rFonts w:ascii="Calibri" w:cs="Calibri" w:eastAsia="Calibri" w:hAnsi="Calibri"/>
          <w:b/>
          <w:bCs/>
          <w:sz w:val="18"/>
          <w:szCs w:val="18"/>
        </w:rPr>
        <w:t xml:space="preserve">Property Registration Decree (Presidential Decree No. 1529) - Secs. 51–52 (registration is the operative act that binds third persons) and Sec. 65 (trusts annotated on the title) (checked 2026-10-01)</w:t>
      </w:r>
    </w:p>
    <w:p>
      <w:pPr>
        <w:spacing w:after="120"/>
      </w:pPr>
      <w:hyperlink w:history="1" r:id="rIdwcoh1echomksgb9l-ped8">
        <w:r>
          <w:rPr>
            <w:rFonts w:ascii="Calibri" w:cs="Calibri" w:eastAsia="Calibri" w:hAnsi="Calibri"/>
            <w:color w:val="315B75"/>
            <w:sz w:val="17"/>
            <w:szCs w:val="17"/>
            <w:u w:val="single"/>
          </w:rPr>
          <w:t xml:space="preserve">https://lawphil.net/statutes/presdecs/pd1978/pd_1529_1978.html</w:t>
        </w:r>
      </w:hyperlink>
    </w:p>
    <w:p>
      <w:pPr>
        <w:keepNext/>
        <w:spacing w:after="60" w:before="100"/>
      </w:pPr>
      <w:r>
        <w:rPr>
          <w:rFonts w:ascii="Calibri" w:cs="Calibri" w:eastAsia="Calibri" w:hAnsi="Calibri"/>
          <w:b/>
          <w:bCs/>
          <w:sz w:val="18"/>
          <w:szCs w:val="18"/>
        </w:rPr>
        <w:t xml:space="preserve">Local Government Code of 1991 (Republic Act No. 7160) - Sec. 408: barangay conciliation before court action between parties residing in the same city or municipality (checked 2026-09-21)</w:t>
      </w:r>
    </w:p>
    <w:p>
      <w:pPr>
        <w:spacing w:after="120"/>
      </w:pPr>
      <w:hyperlink w:history="1" r:id="rIdihve2ujazx1pwfiu-nzd2">
        <w:r>
          <w:rPr>
            <w:rFonts w:ascii="Calibri" w:cs="Calibri" w:eastAsia="Calibri" w:hAnsi="Calibri"/>
            <w:color w:val="315B75"/>
            <w:sz w:val="17"/>
            <w:szCs w:val="17"/>
            <w:u w:val="single"/>
          </w:rPr>
          <w:t xml:space="preserve">https://lawphil.net/statutes/repacts/ra1991/ra_7160_1991.html</w:t>
        </w:r>
      </w:hyperlink>
    </w:p>
    <w:p>
      <w:pPr>
        <w:keepNext/>
        <w:spacing w:after="60" w:before="100"/>
      </w:pPr>
      <w:r>
        <w:rPr>
          <w:rFonts w:ascii="Calibri" w:cs="Calibri" w:eastAsia="Calibri" w:hAnsi="Calibri"/>
          <w:b/>
          <w:bCs/>
          <w:sz w:val="18"/>
          <w:szCs w:val="18"/>
        </w:rPr>
        <w:t xml:space="preserve">Alternative Dispute Resolution Act of 2004 (Republic Act No. 9285) - Mediation as a route to settle property and expense disputes (checked 2026-09-21)</w:t>
      </w:r>
    </w:p>
    <w:p>
      <w:pPr>
        <w:spacing w:after="120"/>
      </w:pPr>
      <w:hyperlink w:history="1" r:id="rIduha28wxfjfukwl0h1rboo">
        <w:r>
          <w:rPr>
            <w:rFonts w:ascii="Calibri" w:cs="Calibri" w:eastAsia="Calibri" w:hAnsi="Calibri"/>
            <w:color w:val="315B75"/>
            <w:sz w:val="17"/>
            <w:szCs w:val="17"/>
            <w:u w:val="single"/>
          </w:rPr>
          <w:t xml:space="preserve">https://lawphil.net/statutes/repacts/ra2004/ra_9285_2004.html</w:t>
        </w:r>
      </w:hyperlink>
    </w:p>
    <w:p>
      <w:pPr>
        <w:keepNext/>
        <w:spacing w:after="60" w:before="100"/>
      </w:pPr>
      <w:r>
        <w:rPr>
          <w:rFonts w:ascii="Calibri" w:cs="Calibri" w:eastAsia="Calibri" w:hAnsi="Calibri"/>
          <w:b/>
          <w:bCs/>
          <w:sz w:val="18"/>
          <w:szCs w:val="18"/>
        </w:rPr>
        <w:t xml:space="preserve">2004 Rules on Notarial Practice - Acknowledgment, personal appearance, competent evidence of identity, and certificate requirements where the agreement is notarized (checked 2026-09-21)</w:t>
      </w:r>
    </w:p>
    <w:p>
      <w:pPr>
        <w:spacing w:after="120"/>
      </w:pPr>
      <w:hyperlink w:history="1" r:id="rIdd2hthe6jhfagy5d4hromi">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Rules on Electronic Notarization (A.M. No. 24-10-14-SC) - Electronic notarization route, accredited electronic notary and facility requirements (checked 2026-09-21)</w:t>
      </w:r>
    </w:p>
    <w:p>
      <w:pPr>
        <w:spacing w:after="120"/>
      </w:pPr>
      <w:hyperlink w:history="1" r:id="rIdwm5qfyltjg7raxvtxxodx">
        <w:r>
          <w:rPr>
            <w:rFonts w:ascii="Calibri" w:cs="Calibri" w:eastAsia="Calibri" w:hAnsi="Calibri"/>
            <w:color w:val="315B75"/>
            <w:sz w:val="17"/>
            <w:szCs w:val="17"/>
            <w:u w:val="single"/>
          </w:rPr>
          <w:t xml:space="preserve">https://sc.judiciary.gov.ph/24-10-14-sc-rules-on-electronic-notarization/</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mhoohujp59lqklnsldcs" Type="http://schemas.openxmlformats.org/officeDocument/2006/relationships/hyperlink" Target="https://lawphil.net/executive/execord/eo1987/eo_209_1987.html" TargetMode="External"/><Relationship Id="rId7qqoa1kgxqfhfrebb7qwz" Type="http://schemas.openxmlformats.org/officeDocument/2006/relationships/hyperlink" Target="https://lawphil.net/statutes/repacts/ra1949/ra_386_1949.html" TargetMode="External"/><Relationship Id="rIdegvgnraijyh2alhx_hlob" Type="http://schemas.openxmlformats.org/officeDocument/2006/relationships/hyperlink" Target="https://lawphil.net/statutes/acts/act1930/act_3815_1930.html" TargetMode="External"/><Relationship Id="rIdwcoh1echomksgb9l-ped8" Type="http://schemas.openxmlformats.org/officeDocument/2006/relationships/hyperlink" Target="https://lawphil.net/statutes/presdecs/pd1978/pd_1529_1978.html" TargetMode="External"/><Relationship Id="rIdihve2ujazx1pwfiu-nzd2" Type="http://schemas.openxmlformats.org/officeDocument/2006/relationships/hyperlink" Target="https://lawphil.net/statutes/repacts/ra1991/ra_7160_1991.html" TargetMode="External"/><Relationship Id="rIduha28wxfjfukwl0h1rboo" Type="http://schemas.openxmlformats.org/officeDocument/2006/relationships/hyperlink" Target="https://lawphil.net/statutes/repacts/ra2004/ra_9285_2004.html" TargetMode="External"/><Relationship Id="rIdd2hthe6jhfagy5d4hromi" Type="http://schemas.openxmlformats.org/officeDocument/2006/relationships/hyperlink" Target="https://sc.judiciary.gov.ph/wp-content/uploads/2022/08/02-08-13-SC-1.pdf" TargetMode="External"/><Relationship Id="rIdwm5qfyltjg7raxvtxxodx" Type="http://schemas.openxmlformats.org/officeDocument/2006/relationships/hyperlink" Target="https://sc.judiciary.gov.ph/24-10-14-sc-rules-on-electronic-notarization/"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COHABITATION PROPERTY AND EXPENSE AGREEMENT</dc:title>
  <dc:creator>LAW.PH</dc:creator>
  <dc:description>Free sample of the Cohabitation Property and Expense Agreement from LAW.PH, with fictional details</dc:description>
  <cp:lastModifiedBy>Un-named</cp:lastModifiedBy>
  <cp:revision>1</cp:revision>
  <dcterms:created xsi:type="dcterms:W3CDTF">2026-10-02T05:29:58.276Z</dcterms:created>
  <dcterms:modified xsi:type="dcterms:W3CDTF">2026-10-02T05:29:58.276Z</dcterms:modified>
</cp:coreProperties>
</file>

<file path=docProps/custom.xml><?xml version="1.0" encoding="utf-8"?>
<Properties xmlns="http://schemas.openxmlformats.org/officeDocument/2006/custom-properties" xmlns:vt="http://schemas.openxmlformats.org/officeDocument/2006/docPropsVTypes"/>
</file>