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COMMERCIAL LEASE AGREEMENT</w:t>
      </w:r>
    </w:p>
    <w:p>
      <w:pPr>
        <w:spacing w:after="160"/>
        <w:jc w:val="center"/>
      </w:pPr>
      <w:r>
        <w:rPr>
          <w:rFonts w:ascii="Calibri" w:cs="Calibri" w:eastAsia="Calibri" w:hAnsi="Calibri"/>
          <w:color w:val="566674"/>
          <w:sz w:val="18"/>
          <w:szCs w:val="18"/>
        </w:rPr>
        <w:t xml:space="preserve">Unit 501, Mabini Commerce Center, 12 Mabini Avenue, Barangay San Lorenzo, Makati City 1226, Philippines · Longer-term, public-document, tax, and registration route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real-estate and tax-lawyer review pending</w:t>
      </w:r>
    </w:p>
    <w:p>
      <w:pPr>
        <w:pStyle w:val="Heading2"/>
        <w:keepNext/>
        <w:spacing w:after="120" w:before="240"/>
      </w:pPr>
      <w:r>
        <w:rPr>
          <w:rFonts w:ascii="Calibri" w:cs="Calibri" w:eastAsia="Calibri" w:hAnsi="Calibri"/>
          <w:b/>
          <w:bCs/>
          <w:color w:val="102B3F"/>
          <w:sz w:val="26"/>
          <w:szCs w:val="26"/>
        </w:rPr>
        <w:t xml:space="preserve">1. PARTIES, AUTHORITY, AND COMMERCIAL SCOPE</w:t>
      </w:r>
    </w:p>
    <w:p>
      <w:pPr>
        <w:keepLines/>
        <w:spacing w:after="120" w:line="264"/>
        <w:jc w:val="both"/>
      </w:pPr>
      <w:r>
        <w:rPr>
          <w:rFonts w:ascii="Calibri" w:cs="Calibri" w:eastAsia="Calibri" w:hAnsi="Calibri"/>
          <w:sz w:val="22"/>
          <w:szCs w:val="22"/>
        </w:rPr>
        <w:t xml:space="preserve">This Commercial Lease Agreement is made on August 30, 2026 between Mabini Commercial Properties, Inc., a corporation with record SEC CS201512345; BIR registration and current tax status retained in the closing file., address 12 Mabini Avenue, Barangay San Lorenzo, Makati City 1226, Philippines, acting through Jose P. Reyes, President (the “Lessor”), and Bayanihan Retail Corporation, a corporation with record SEC CS201912345; BIR registration and current tax status retained in the closing file., address 88 Pioneer Street, Mandaluyong City 1550, Philippines, acting through Laura M. Cruz, Chief Operating Officer (the “Lessee”).</w:t>
      </w:r>
    </w:p>
    <w:p>
      <w:pPr>
        <w:keepLines/>
        <w:spacing w:after="120" w:line="264"/>
        <w:jc w:val="both"/>
      </w:pPr>
      <w:r>
        <w:rPr>
          <w:rFonts w:ascii="Calibri" w:cs="Calibri" w:eastAsia="Calibri" w:hAnsi="Calibri"/>
          <w:sz w:val="22"/>
          <w:szCs w:val="22"/>
        </w:rPr>
        <w:t xml:space="preserve">Lessor authority route: registered owner. Evidence: Mabini Commercial Properties, Inc. is registered owner under CCT No. 012-2026001234; current certified title, tax declaration, board approval, secretary's certificate, marital/co-owner inapplicability, and mortgagee consent were verified and attached. Lessee signing authority: Board Resolution No. 2026-18 and notarized Secretary's Certificate dated 30 August 2026 authorize Laura M. Cruz to sign this exact lease and schedules within the approved financial limits.</w:t>
      </w:r>
    </w:p>
    <w:p>
      <w:pPr>
        <w:keepLines/>
        <w:spacing w:after="120" w:line="264"/>
        <w:jc w:val="both"/>
      </w:pPr>
      <w:r>
        <w:rPr>
          <w:rFonts w:ascii="Calibri" w:cs="Calibri" w:eastAsia="Calibri" w:hAnsi="Calibri"/>
          <w:sz w:val="22"/>
          <w:szCs w:val="22"/>
        </w:rPr>
        <w:t xml:space="preserve">This is a commercial—not residential or agricultural—lease. Primary use class: office. Property setting: ordinary property. Current route: Longer-term, public-document, tax, and registration route. It does not itself prove title, a permit, authority, tax status, building acceptance, registration, notarization, or lawful possession.</w:t>
      </w:r>
    </w:p>
    <w:p>
      <w:pPr>
        <w:pStyle w:val="Heading2"/>
        <w:keepNext/>
        <w:spacing w:after="120" w:before="240"/>
      </w:pPr>
      <w:r>
        <w:rPr>
          <w:rFonts w:ascii="Calibri" w:cs="Calibri" w:eastAsia="Calibri" w:hAnsi="Calibri"/>
          <w:b/>
          <w:bCs/>
          <w:color w:val="102B3F"/>
          <w:sz w:val="26"/>
          <w:szCs w:val="26"/>
        </w:rPr>
        <w:t xml:space="preserve">2. PREMISES, CONDITION, ACCESS, AND PERMITTED USE</w:t>
      </w:r>
    </w:p>
    <w:p>
      <w:pPr>
        <w:keepLines/>
        <w:spacing w:after="120" w:line="264"/>
        <w:jc w:val="both"/>
      </w:pPr>
      <w:r>
        <w:rPr>
          <w:rFonts w:ascii="Calibri" w:cs="Calibri" w:eastAsia="Calibri" w:hAnsi="Calibri"/>
          <w:sz w:val="22"/>
          <w:szCs w:val="22"/>
        </w:rPr>
        <w:t xml:space="preserve">Premises: Unit 501, Mabini Commerce Center, 12 Mabini Avenue, Barangay San Lorenzo, Makati City 1226, Philippines. Title/tax record: CCT No. 012-2026001234, Condominium Unit 501, registered to Mabini Commercial Properties, Inc.; current Makati tax declaration and dues clearance checked on 29 August 2026. Approximate area: 100 square meters. Boundaries and plan: Approximately 100 square meters measured to the inside finished face under signed Plan CL-501-A; boundaries, access corridor, service risers and measurement tolerance are marked, with rent adjusted prospectively if a joint licensed survey differs by more than two percent.</w:t>
      </w:r>
    </w:p>
    <w:p>
      <w:pPr>
        <w:keepLines/>
        <w:spacing w:after="120" w:line="264"/>
        <w:jc w:val="both"/>
      </w:pPr>
      <w:r>
        <w:rPr>
          <w:rFonts w:ascii="Calibri" w:cs="Calibri" w:eastAsia="Calibri" w:hAnsi="Calibri"/>
          <w:sz w:val="22"/>
          <w:szCs w:val="22"/>
        </w:rPr>
        <w:t xml:space="preserve">Included areas, systems, fixtures, equipment, and property: Unit 501 with finished floor, ceiling grid, lighting, base electrical panel, sprinklers, smoke detectors, two split-type air-conditioning units, pantry sink, restroom access, and the specific fixtures listed in Schedule 2. Parking, storage, loading, access, and common areas: Two nonexclusive parking slots P2-18 and P2-19, shared loading bay by booking, passenger and service elevators, lobby, corridors, restrooms and emergency exits, all subject to the disclosed building rules without guaranteed uninterrupted exclusivity.</w:t>
      </w:r>
    </w:p>
    <w:p>
      <w:pPr>
        <w:keepLines/>
        <w:spacing w:after="120" w:line="264"/>
        <w:jc w:val="both"/>
      </w:pPr>
      <w:r>
        <w:rPr>
          <w:rFonts w:ascii="Calibri" w:cs="Calibri" w:eastAsia="Calibri" w:hAnsi="Calibri"/>
          <w:sz w:val="22"/>
          <w:szCs w:val="22"/>
        </w:rPr>
        <w:t xml:space="preserve">Encumbrances, superior rights, consents, and non-disturbance: Title is mortgaged to Bayan Bank; written mortgagee consent and recognition/non-disturbance letter are conditions before rent commencement. Condominium corporation approval and current house rules are attached. No superior lease or adverse claim is known after the stated search. Initial-condition evidence: Schedule 3 is a jointly signed, dated turnover condition report with floor plan, photographs, meter readings, keys, cards, fixtures, existing wall marks, ceiling repair item, HVAC test, fire-system status and completion dates.</w:t>
      </w:r>
    </w:p>
    <w:p>
      <w:pPr>
        <w:keepLines/>
        <w:spacing w:after="120" w:line="264"/>
        <w:jc w:val="both"/>
      </w:pPr>
      <w:r>
        <w:rPr>
          <w:rFonts w:ascii="Calibri" w:cs="Calibri" w:eastAsia="Calibri" w:hAnsi="Calibri"/>
          <w:sz w:val="22"/>
          <w:szCs w:val="22"/>
        </w:rPr>
        <w:t xml:space="preserve">Permitted use: Operation of the lessee's specifically identified lawful business and directly incidental administrative activities, subject to all approved plans, permits, occupancy limits, and building rules. Prohibited use: No residential, unlawful, nuisance, hazardous, overloading, unlicensed, environmentally harmful, or structurally damaging use, and no activity outside the disclosed permitted use without prior written approval and permits. Exclusivity or radius treatment: No exclusive-use or radius protection is granted unless expressly stated in a signed schedule.</w:t>
      </w:r>
    </w:p>
    <w:p>
      <w:pPr>
        <w:keepLines/>
        <w:spacing w:after="120" w:line="264"/>
        <w:jc w:val="both"/>
      </w:pPr>
      <w:r>
        <w:rPr>
          <w:rFonts w:ascii="Calibri" w:cs="Calibri" w:eastAsia="Calibri" w:hAnsi="Calibri"/>
          <w:sz w:val="22"/>
          <w:szCs w:val="22"/>
        </w:rPr>
        <w:t xml:space="preserve">Permits and zoning allocation: Lessor proves existing lawful building/occupancy status within its control; lessee obtains and maintains business- and use-specific permits. Neither party warrants a permit controlled by the other or by a government authority.</w:t>
      </w:r>
    </w:p>
    <w:p>
      <w:pPr>
        <w:pStyle w:val="Heading2"/>
        <w:keepNext/>
        <w:spacing w:after="120" w:before="240"/>
      </w:pPr>
      <w:r>
        <w:rPr>
          <w:rFonts w:ascii="Calibri" w:cs="Calibri" w:eastAsia="Calibri" w:hAnsi="Calibri"/>
          <w:b/>
          <w:bCs/>
          <w:color w:val="102B3F"/>
          <w:sz w:val="26"/>
          <w:szCs w:val="26"/>
        </w:rPr>
        <w:t xml:space="preserve">3. TURNOVER, TERM, RENEWAL, AND HOLDOVER</w:t>
      </w:r>
    </w:p>
    <w:p>
      <w:pPr>
        <w:keepLines/>
        <w:spacing w:after="120" w:line="264"/>
        <w:jc w:val="both"/>
      </w:pPr>
      <w:r>
        <w:rPr>
          <w:rFonts w:ascii="Calibri" w:cs="Calibri" w:eastAsia="Calibri" w:hAnsi="Calibri"/>
          <w:sz w:val="22"/>
          <w:szCs w:val="22"/>
        </w:rPr>
        <w:t xml:space="preserve">Target turnover: October 1, 2026. Lease term: October 1, 2026 through September 30, 2029, both dates included. Base rent commences October 31, 2026, subject to the stated turnover and rent-trigger terms.</w:t>
      </w:r>
    </w:p>
    <w:p>
      <w:pPr>
        <w:keepLines/>
        <w:spacing w:after="120" w:line="264"/>
        <w:jc w:val="both"/>
      </w:pPr>
      <w:r>
        <w:rPr>
          <w:rFonts w:ascii="Calibri" w:cs="Calibri" w:eastAsia="Calibri" w:hAnsi="Calibri"/>
          <w:sz w:val="22"/>
          <w:szCs w:val="22"/>
        </w:rPr>
        <w:t xml:space="preserve">Turnover conditions: Vacant physical possession, safe legal access, agreed base-building systems operating, keys and access devices delivered, utilities available for connection, disclosed permits/evidence delivered, and the signed condition report completed. Delayed turnover: Rent does not commence before compliant turnover; after the agreed long-stop date, apply documented rent credit and allow termination with prompt refund of unapplied amounts unless delay was caused by the lessee.</w:t>
      </w:r>
    </w:p>
    <w:p>
      <w:pPr>
        <w:keepLines/>
        <w:spacing w:after="120" w:line="264"/>
        <w:jc w:val="both"/>
      </w:pPr>
      <w:r>
        <w:rPr>
          <w:rFonts w:ascii="Calibri" w:cs="Calibri" w:eastAsia="Calibri" w:hAnsi="Calibri"/>
          <w:sz w:val="22"/>
          <w:szCs w:val="22"/>
        </w:rPr>
        <w:t xml:space="preserve">Renewal option: written exercise at least 180 days before expiry. One additional three-year term by written notice given at least 180 days before expiry, subject to no uncured material default, signed confirmation, and rent set by the stated objective market-comparison process with a defined fallback appraisal.</w:t>
      </w:r>
    </w:p>
    <w:p>
      <w:pPr>
        <w:keepLines/>
        <w:spacing w:after="120" w:line="264"/>
        <w:jc w:val="both"/>
      </w:pPr>
      <w:r>
        <w:rPr>
          <w:rFonts w:ascii="Calibri" w:cs="Calibri" w:eastAsia="Calibri" w:hAnsi="Calibri"/>
          <w:sz w:val="22"/>
          <w:szCs w:val="22"/>
        </w:rPr>
        <w:t xml:space="preserve">Holdover may arise only through documented acceptance: 150% of the last base rent. Month-to-month only with written lessor acceptance, 150% base rent plus recurring charges, terminable on thirty days' notice, and without reviving renewal, guaranty, improvement, or exclusivity rights except as expressly signed.</w:t>
      </w:r>
    </w:p>
    <w:p>
      <w:pPr>
        <w:keepLines/>
        <w:spacing w:after="120" w:line="264"/>
        <w:jc w:val="both"/>
      </w:pPr>
      <w:r>
        <w:rPr>
          <w:rFonts w:ascii="Calibri" w:cs="Calibri" w:eastAsia="Calibri" w:hAnsi="Calibri"/>
          <w:sz w:val="22"/>
          <w:szCs w:val="22"/>
        </w:rPr>
        <w:t xml:space="preserve">Registration/annotation is intended: Execute a notarized registrable lease with verified authority and complete schedules; obtain Bayan Bank and condominium consents; compute and pay current taxes; submit the accepted instrument to the Makati Registry of Deeds for annotation; retain entry/annotation evidence and remove it upon documented expiry or termination.</w:t>
      </w:r>
    </w:p>
    <w:p>
      <w:pPr>
        <w:pStyle w:val="Heading2"/>
        <w:keepNext/>
        <w:spacing w:after="120" w:before="240"/>
      </w:pPr>
      <w:r>
        <w:rPr>
          <w:rFonts w:ascii="Calibri" w:cs="Calibri" w:eastAsia="Calibri" w:hAnsi="Calibri"/>
          <w:b/>
          <w:bCs/>
          <w:color w:val="102B3F"/>
          <w:sz w:val="26"/>
          <w:szCs w:val="26"/>
        </w:rPr>
        <w:t xml:space="preserve">4. RENT, VAT, WITHHOLDING, ESCALATION, AND SECURITY</w:t>
      </w:r>
    </w:p>
    <w:p>
      <w:pPr>
        <w:keepLines/>
        <w:spacing w:after="120" w:line="264"/>
        <w:jc w:val="both"/>
      </w:pPr>
      <w:r>
        <w:rPr>
          <w:rFonts w:ascii="Calibri" w:cs="Calibri" w:eastAsia="Calibri" w:hAnsi="Calibri"/>
          <w:sz w:val="22"/>
          <w:szCs w:val="22"/>
        </w:rPr>
        <w:t xml:space="preserve">Initial monthly base rent: ₱100,000.00, due on day 5 through Electronic transfer to the lessor's verified account stated in a signed payment instruction; a changed account requires authenticated written confirmation through the notice and anti-fraud process. Base-rent-free period: 30 days, running from turnover and ending on the rent commencement date, without waiving separately stated fit-out, utility, CAM, damage, permit, or other obligations.</w:t>
      </w:r>
    </w:p>
    <w:p>
      <w:pPr>
        <w:keepLines/>
        <w:spacing w:after="120" w:line="264"/>
        <w:jc w:val="both"/>
      </w:pPr>
      <w:r>
        <w:rPr>
          <w:rFonts w:ascii="Calibri" w:cs="Calibri" w:eastAsia="Calibri" w:hAnsi="Calibri"/>
          <w:sz w:val="22"/>
          <w:szCs w:val="22"/>
        </w:rPr>
        <w:t xml:space="preserve">VAT route: exclusive if legally due. Invoice and tax-status evidence: Lessor is VAT-registered under the attached BIR Certificate of Registration and issues a compliant VAT invoice under current EOPT rules; changes require supporting BIR records, prospective lawful treatment and no duplicate recovery. No tax is charged or withheld solely because this lease labels it so; current law and actual registration/transaction facts control.</w:t>
      </w:r>
    </w:p>
    <w:p>
      <w:pPr>
        <w:keepLines/>
        <w:spacing w:after="120" w:line="264"/>
        <w:jc w:val="both"/>
      </w:pPr>
      <w:r>
        <w:rPr>
          <w:rFonts w:ascii="Calibri" w:cs="Calibri" w:eastAsia="Calibri" w:hAnsi="Calibri"/>
          <w:sz w:val="22"/>
          <w:szCs w:val="22"/>
        </w:rPr>
        <w:t xml:space="preserve">Expanded withholding route: 5% based on the currently verified legal base and timing. Lessee applies the currently verified five-percent EWT to the legally applicable payable base and timing, remits through the BIR-authorized channel, delivers Form 2307 within the agreed monthly/quarterly timetable, and corrects errors promptly; valid supported withholding is credited as rent paid. Valid withholding supported by timely remittance and certificate is credited as rent payment.</w:t>
      </w:r>
    </w:p>
    <w:p>
      <w:pPr>
        <w:keepLines/>
        <w:spacing w:after="120" w:line="264"/>
        <w:jc w:val="both"/>
      </w:pPr>
      <w:r>
        <w:rPr>
          <w:rFonts w:ascii="Calibri" w:cs="Calibri" w:eastAsia="Calibri" w:hAnsi="Calibri"/>
          <w:sz w:val="22"/>
          <w:szCs w:val="22"/>
        </w:rPr>
        <w:t xml:space="preserve">Base rent increases by 5% on each anniversary of rent commencement, prospectively and without compounding before the stated date.</w:t>
      </w:r>
    </w:p>
    <w:p>
      <w:pPr>
        <w:keepLines/>
        <w:spacing w:after="120" w:line="264"/>
        <w:jc w:val="both"/>
      </w:pPr>
      <w:r>
        <w:rPr>
          <w:rFonts w:ascii="Calibri" w:cs="Calibri" w:eastAsia="Calibri" w:hAnsi="Calibri"/>
          <w:sz w:val="22"/>
          <w:szCs w:val="22"/>
        </w:rPr>
        <w:t xml:space="preserve">Advance rent: 2 month(s), equal to ₱200,000.00, applied to the first 2 months of base rent after the rent commencement date. Security deposit: 3 month(s) of initial base rent, equal to ₱300,000.00. Deposit treatment: Deposit secures documented unpaid obligations and restoration, is not automatically last-month rent, is replenished after valid application, and is returned with an itemized reconciliation and undisputed balance within sixty days after complete surrender.</w:t>
      </w:r>
    </w:p>
    <w:p>
      <w:pPr>
        <w:keepLines/>
        <w:spacing w:after="120" w:line="264"/>
        <w:jc w:val="both"/>
      </w:pPr>
      <w:r>
        <w:rPr>
          <w:rFonts w:ascii="Calibri" w:cs="Calibri" w:eastAsia="Calibri" w:hAnsi="Calibri"/>
          <w:sz w:val="22"/>
          <w:szCs w:val="22"/>
        </w:rPr>
        <w:t xml:space="preserve">After the 5-day contractual grace/cure period and without double recovery, overdue amounts bear 12% annual interest and an additional 2% charge, subject to notice, mitigation, applicable law, and equitable reduction of an iniquitous or unconscionable penalty.</w:t>
      </w:r>
    </w:p>
    <w:p>
      <w:pPr>
        <w:pStyle w:val="Heading2"/>
        <w:keepNext/>
        <w:spacing w:after="120" w:before="240"/>
      </w:pPr>
      <w:r>
        <w:rPr>
          <w:rFonts w:ascii="Calibri" w:cs="Calibri" w:eastAsia="Calibri" w:hAnsi="Calibri"/>
          <w:b/>
          <w:bCs/>
          <w:color w:val="102B3F"/>
          <w:sz w:val="26"/>
          <w:szCs w:val="26"/>
        </w:rPr>
        <w:t xml:space="preserve">5. CAM, UTILITIES, TAXES, INSURANCE, AND TRANSACTION COSTS</w:t>
      </w:r>
    </w:p>
    <w:p>
      <w:pPr>
        <w:keepLines/>
        <w:spacing w:after="120" w:line="264"/>
        <w:jc w:val="both"/>
      </w:pPr>
      <w:r>
        <w:rPr>
          <w:rFonts w:ascii="Calibri" w:cs="Calibri" w:eastAsia="Calibri" w:hAnsi="Calibri"/>
          <w:sz w:val="22"/>
          <w:szCs w:val="22"/>
        </w:rPr>
        <w:t xml:space="preserve">Current monthly CAM estimate: ₱20,000.00. Definition and exclusions: CAM includes proportionately allocated, actually incurred, reasonable common-area security, cleaning, utilities, maintenance, and management costs; excludes debt service, income tax, depreciation, capital ownership costs except agreed amortized savings, leasing commissions, penalties, negligence, duplication, and costs reimbursed elsewhere. Budget, audit, and reconciliation: Lessor gives an annual budget and allocation basis, monthly estimates, year-end statement and supporting summary, allows confidential audit and timely good-faith contest, and credits/refunds overpayments or invoices underpayments without waiving disputed items.</w:t>
      </w:r>
    </w:p>
    <w:p>
      <w:pPr>
        <w:keepLines/>
        <w:spacing w:after="120" w:line="264"/>
        <w:jc w:val="both"/>
      </w:pPr>
      <w:r>
        <w:rPr>
          <w:rFonts w:ascii="Calibri" w:cs="Calibri" w:eastAsia="Calibri" w:hAnsi="Calibri"/>
          <w:sz w:val="22"/>
          <w:szCs w:val="22"/>
        </w:rPr>
        <w:t xml:space="preserve">Utilities: Lessee pays separately metered consumption and disclosed connection charges; shared utilities use the stated fair allocation. Lessor supplies readings and invoices, does not mark up charges unless disclosed, and does not interrupt essential service as unsupported self-help. Property and improvement taxes: Lessor pays land and base-building real property tax; lessee pays documented incremental tax directly caused by its approved improvements or use, without duplicate CAM recovery. Insurance cost allocation: Lessor maintains property insurance for the base building; lessee maintains required business, contents, fit-out, public liability, worker, and other use-specific insurance. Each party bears deductibles caused by its risk where lawful.</w:t>
      </w:r>
    </w:p>
    <w:p>
      <w:pPr>
        <w:keepLines/>
        <w:spacing w:after="120" w:line="264"/>
        <w:jc w:val="both"/>
      </w:pPr>
      <w:r>
        <w:rPr>
          <w:rFonts w:ascii="Calibri" w:cs="Calibri" w:eastAsia="Calibri" w:hAnsi="Calibri"/>
          <w:sz w:val="22"/>
          <w:szCs w:val="22"/>
        </w:rPr>
        <w:t xml:space="preserve">Lease DST payer: shared. Current computation, filing, and evidence: Parties obtain a current Section 194 computation using the actual term and rent schedule, file and pay through the accepted BIR channel by the current deadline, retain proof, and share the lease DST equally without mischaracterizing VAT, EWT, or another tax. Notarial, registry, authority, consent, and related costs: Each party bears its own authority and signing cost; notarization and agreed Registry of Deeds annotation costs are shared unless a recipient or filing schedule states otherwise.</w:t>
      </w:r>
    </w:p>
    <w:p>
      <w:pPr>
        <w:pStyle w:val="Heading2"/>
        <w:keepNext/>
        <w:spacing w:after="120" w:before="240"/>
      </w:pPr>
      <w:r>
        <w:rPr>
          <w:rFonts w:ascii="Calibri" w:cs="Calibri" w:eastAsia="Calibri" w:hAnsi="Calibri"/>
          <w:b/>
          <w:bCs/>
          <w:color w:val="102B3F"/>
          <w:sz w:val="26"/>
          <w:szCs w:val="26"/>
        </w:rPr>
        <w:t xml:space="preserve">6. FIT-OUT, IMPROVEMENTS, REPAIRS, AND SAFETY</w:t>
      </w:r>
    </w:p>
    <w:p>
      <w:pPr>
        <w:keepLines/>
        <w:spacing w:after="120" w:line="264"/>
        <w:jc w:val="both"/>
      </w:pPr>
      <w:r>
        <w:rPr>
          <w:rFonts w:ascii="Calibri" w:cs="Calibri" w:eastAsia="Calibri" w:hAnsi="Calibri"/>
          <w:sz w:val="22"/>
          <w:szCs w:val="22"/>
        </w:rPr>
        <w:t xml:space="preserve">Fit-out access and commercial treatment: Thirty-day license for fit-out access after compliant turnover and before rent commencement; utilities and CAM during fit-out are allocated in the cost schedule, access is revocable only for documented safety/default, and no business opening occurs before permits and acceptance. Plans, permits, contractors, liens, inspection, and completion: Lessee submits signed professional plans, loads, equipment, schedule, contractors, insurance, bonds and permits; lessor responds within the stated time on reasonable building grounds; contractors follow safety and access rules, prevent liens, pass inspections, deliver as-builts and warranties, and correct damage.</w:t>
      </w:r>
    </w:p>
    <w:p>
      <w:pPr>
        <w:keepLines/>
        <w:spacing w:after="120" w:line="264"/>
        <w:jc w:val="both"/>
      </w:pPr>
      <w:r>
        <w:rPr>
          <w:rFonts w:ascii="Calibri" w:cs="Calibri" w:eastAsia="Calibri" w:hAnsi="Calibri"/>
          <w:sz w:val="22"/>
          <w:szCs w:val="22"/>
        </w:rPr>
        <w:t xml:space="preserve">Improvement and trade-fixture ownership/removal: Trade fixtures and removable equipment remain lessee property if removed without damage; approved permanent improvements transfer or are removed only as stated in the signed fit-out schedule, overriding no statutory reimbursement assumption only to the lawful extent reviewed. Reinstatement: Lessor identifies required removals in the approval or before the agreed cutoff; lessee removes required items, repairs damage, restores agreed condition subject to ordinary wear, completes cleaning and testing, and documents surrender without hidden betterment.</w:t>
      </w:r>
    </w:p>
    <w:p>
      <w:pPr>
        <w:keepLines/>
        <w:spacing w:after="120" w:line="264"/>
        <w:jc w:val="both"/>
      </w:pPr>
      <w:r>
        <w:rPr>
          <w:rFonts w:ascii="Calibri" w:cs="Calibri" w:eastAsia="Calibri" w:hAnsi="Calibri"/>
          <w:sz w:val="22"/>
          <w:szCs w:val="22"/>
        </w:rPr>
        <w:t xml:space="preserve">Lessor/base-building repairs: Lessor maintains roof, foundation, structural elements, base-building fire/life-safety and common systems except damage caused by lessee; gives notice and minimizes interference, with contractual and statutory rent relief preserved for material loss of use. Lessee maintenance: Lessee maintains interiors, trade systems, fixtures, equipment, cleanliness, pest control, routine consumables, and damage caused by its people, contractors or visitors, using qualified providers and preserving warranties.</w:t>
      </w:r>
    </w:p>
    <w:p>
      <w:pPr>
        <w:keepLines/>
        <w:spacing w:after="120" w:line="264"/>
        <w:jc w:val="both"/>
      </w:pPr>
      <w:r>
        <w:rPr>
          <w:rFonts w:ascii="Calibri" w:cs="Calibri" w:eastAsia="Calibri" w:hAnsi="Calibri"/>
          <w:sz w:val="22"/>
          <w:szCs w:val="22"/>
        </w:rPr>
        <w:t xml:space="preserve">Urgent repair, access, interference, and rent relief: Each party reports urgent conditions immediately; lessor may enter without ordinary notice for a genuine emergency and must document the work. If lessor fails to address imminent danger, preserve lawful emergency repair, rent-relief, rescission, and damage remedies. Ordinary non-emergency inspection or work requires 48 hours' notice and reasonable coordination; genuine emergencies permit proportionate immediate access with prompt documentation.</w:t>
      </w:r>
    </w:p>
    <w:p>
      <w:pPr>
        <w:keepLines/>
        <w:spacing w:after="120" w:line="264"/>
        <w:jc w:val="both"/>
      </w:pPr>
      <w:r>
        <w:rPr>
          <w:rFonts w:ascii="Calibri" w:cs="Calibri" w:eastAsia="Calibri" w:hAnsi="Calibri"/>
          <w:sz w:val="22"/>
          <w:szCs w:val="22"/>
        </w:rPr>
        <w:t xml:space="preserve">Compliance, safety, environmental, and incident responsibility: Each party complies with laws and permits within its control, including building, fire, accessibility, occupational safety, sanitation, environmental, waste, privacy/CCTV, and emergency rules; material hazards are reported, contained, investigated, remediated, and documented.</w:t>
      </w:r>
    </w:p>
    <w:p>
      <w:pPr>
        <w:pStyle w:val="Heading2"/>
        <w:keepNext/>
        <w:spacing w:after="120" w:before="240"/>
      </w:pPr>
      <w:r>
        <w:rPr>
          <w:rFonts w:ascii="Calibri" w:cs="Calibri" w:eastAsia="Calibri" w:hAnsi="Calibri"/>
          <w:b/>
          <w:bCs/>
          <w:color w:val="102B3F"/>
          <w:sz w:val="26"/>
          <w:szCs w:val="26"/>
        </w:rPr>
        <w:t xml:space="preserve">7. OPERATIONS, ASSIGNMENT, PROPERTY TRANSFER, AND QUIET ENJOYMENT</w:t>
      </w:r>
    </w:p>
    <w:p>
      <w:pPr>
        <w:keepLines/>
        <w:spacing w:after="120" w:line="264"/>
        <w:jc w:val="both"/>
      </w:pPr>
      <w:r>
        <w:rPr>
          <w:rFonts w:ascii="Calibri" w:cs="Calibri" w:eastAsia="Calibri" w:hAnsi="Calibri"/>
          <w:sz w:val="22"/>
          <w:szCs w:val="22"/>
        </w:rPr>
        <w:t xml:space="preserve">Operating rules: Use only during disclosed operating and delivery hours; comply with reasonable, consistently applied building rules delivered before signing; do not overload systems, obstruct common areas, create nuisance, store undisclosed hazardous materials, or interfere with other occupants. Signs and branding: Signs, façade, directories, lighting, and branding require prior written approval on reasonable building and legal grounds, approved plans and permits, safe installation, maintenance, removal, and repair of resulting damage. Security and access credentials: Issue and inventory keys, cards and credentials only to authorized personnel; promptly report loss, follow lawful security screening, preserve emergency access, deactivate on separation, and return all credentials at surrender without collecting unnecessary personal data.</w:t>
      </w:r>
    </w:p>
    <w:p>
      <w:pPr>
        <w:keepLines/>
        <w:spacing w:after="120" w:line="264"/>
        <w:jc w:val="both"/>
      </w:pPr>
      <w:r>
        <w:rPr>
          <w:rFonts w:ascii="Calibri" w:cs="Calibri" w:eastAsia="Calibri" w:hAnsi="Calibri"/>
          <w:sz w:val="22"/>
          <w:szCs w:val="22"/>
        </w:rPr>
        <w:t xml:space="preserve">Assignment/sublease route: prior consent. No assignment, sublease, license, concession, sharing, merger-related transfer, or change of control without prior written consent after disclosure of transferee identity, use, financial capacity, permits, terms and continuing liability; consent does not waive future approvals. A consent does not release the original lessee, guarantor, or deposit unless the signed consent expressly says so and law permits.</w:t>
      </w:r>
    </w:p>
    <w:p>
      <w:pPr>
        <w:keepLines/>
        <w:spacing w:after="120" w:line="264"/>
        <w:jc w:val="both"/>
      </w:pPr>
      <w:r>
        <w:rPr>
          <w:rFonts w:ascii="Calibri" w:cs="Calibri" w:eastAsia="Calibri" w:hAnsi="Calibri"/>
          <w:sz w:val="22"/>
          <w:szCs w:val="22"/>
        </w:rPr>
        <w:t xml:space="preserve">Transfer by lessor and attornment: Lessor may transfer the property only subject to applicable law and shall deliver notice, successor payment details, deposit transfer and assumption, and lease records; lessee attorns after verified transfer without waiving claims or accepting reduced rights. Quiet enjoyment, title protection, mortgage priority, recognition, and non-disturbance: While lessee complies, lessor maintains peaceful and adequate enjoyment, lawful access and base-building service and protects against claims through its title. Parties seek mortgagee recognition/non-disturbance when priority or foreclosure risk makes it material.</w:t>
      </w:r>
    </w:p>
    <w:p>
      <w:pPr>
        <w:pStyle w:val="Heading2"/>
        <w:keepNext/>
        <w:spacing w:after="120" w:before="240"/>
      </w:pPr>
      <w:r>
        <w:rPr>
          <w:rFonts w:ascii="Calibri" w:cs="Calibri" w:eastAsia="Calibri" w:hAnsi="Calibri"/>
          <w:b/>
          <w:bCs/>
          <w:color w:val="102B3F"/>
          <w:sz w:val="26"/>
          <w:szCs w:val="26"/>
        </w:rPr>
        <w:t xml:space="preserve">8. CASUALTY, FORCE MAJEURE, INSURANCE, AND LIABILITY</w:t>
      </w:r>
    </w:p>
    <w:p>
      <w:pPr>
        <w:keepLines/>
        <w:spacing w:after="120" w:line="264"/>
        <w:jc w:val="both"/>
      </w:pPr>
      <w:r>
        <w:rPr>
          <w:rFonts w:ascii="Calibri" w:cs="Calibri" w:eastAsia="Calibri" w:hAnsi="Calibri"/>
          <w:sz w:val="22"/>
          <w:szCs w:val="22"/>
        </w:rPr>
        <w:t xml:space="preserve">Casualty, unsafe condition, restoration, abatement, and termination: Prompt notice and assessment; rent and recurring charges abate proportionately for unusable areas; lessor states a documented restoration plan and target; either party may terminate for total destruction, unsafe illegality, or failure to restore by the long-stop date; insurance proceeds and damaged property follow ownership and policy rights. Total destruction by fortuitous event and partial destruction remain subject to applicable Civil Code rights.</w:t>
      </w:r>
    </w:p>
    <w:p>
      <w:pPr>
        <w:keepLines/>
        <w:spacing w:after="120" w:line="264"/>
        <w:jc w:val="both"/>
      </w:pPr>
      <w:r>
        <w:rPr>
          <w:rFonts w:ascii="Calibri" w:cs="Calibri" w:eastAsia="Calibri" w:hAnsi="Calibri"/>
          <w:sz w:val="22"/>
          <w:szCs w:val="22"/>
        </w:rPr>
        <w:t xml:space="preserve">Force majeure and business interruption: Force majeure excuses only prevented non-monetary performance to the lawful extent, requires prompt notice, mitigation and resumption, and does not silently waive rent; government closure, access loss and prolonged interruption receive the exact abatement or termination treatment stated in the casualty schedule. Insurance requirements: Before access and throughout the term, each party maintains policies appropriate to its allocated risks, limits, insurers, additional-insured and waiver terms where available, gives certificates and material-change notice, and remains liable notwithstanding insurance gaps.</w:t>
      </w:r>
    </w:p>
    <w:p>
      <w:pPr>
        <w:keepLines/>
        <w:spacing w:after="120" w:line="264"/>
        <w:jc w:val="both"/>
      </w:pPr>
      <w:r>
        <w:rPr>
          <w:rFonts w:ascii="Calibri" w:cs="Calibri" w:eastAsia="Calibri" w:hAnsi="Calibri"/>
          <w:sz w:val="22"/>
          <w:szCs w:val="22"/>
        </w:rPr>
        <w:t xml:space="preserve">Indemnity, defense, settlement, and liability allocation: Each party answers for third-party claims, property damage, injury, law/permit breach, negligence, willful misconduct, and contract breach caused by it or its people, subject to prompt notice, defense control and settlement consent; no clause waives nonwaivable liability or excuses unsafe premises or deliberate misconduct. Nothing waives a nonwaivable duty, permits deliberate wrongdoing, excuses unsafe conditions within a party's control, or binds an insurer, authority, worker, customer, or third party that did not agree.</w:t>
      </w:r>
    </w:p>
    <w:p>
      <w:pPr>
        <w:pStyle w:val="Heading2"/>
        <w:keepNext/>
        <w:spacing w:after="120" w:before="240"/>
      </w:pPr>
      <w:r>
        <w:rPr>
          <w:rFonts w:ascii="Calibri" w:cs="Calibri" w:eastAsia="Calibri" w:hAnsi="Calibri"/>
          <w:b/>
          <w:bCs/>
          <w:color w:val="102B3F"/>
          <w:sz w:val="26"/>
          <w:szCs w:val="26"/>
        </w:rPr>
        <w:t xml:space="preserve">9. DEFAULT, CURE, LAWFUL POSSESSION, AND TERMINATION</w:t>
      </w:r>
    </w:p>
    <w:p>
      <w:pPr>
        <w:keepLines/>
        <w:spacing w:after="120" w:line="264"/>
        <w:jc w:val="both"/>
      </w:pPr>
      <w:r>
        <w:rPr>
          <w:rFonts w:ascii="Calibri" w:cs="Calibri" w:eastAsia="Calibri" w:hAnsi="Calibri"/>
          <w:sz w:val="22"/>
          <w:szCs w:val="22"/>
        </w:rPr>
        <w:t xml:space="preserve">Lessee Events of Default. Each of the following is an Event of Default by the Lessee: (a) failure to pay rent or any other amount due under this Lease within 5 days after its due date; (b) failure to cure any other breach of this Lease within 30 days after written notice from the Lessor describing the breach, or, if the breach cannot reasonably be cured within that period, failure to begin the cure within it and complete it diligently; (c) use of the Premises for a purpose not permitted by this Lease, or a use that endangers safety or violates a permit, that continues after written notice; (d) an assignment, sublease, or change of control made in violation of Section 7; (e) abandonment of the Premises; and (f) a material representation in this Lease that proves false.</w:t>
      </w:r>
    </w:p>
    <w:p>
      <w:pPr>
        <w:keepLines/>
        <w:spacing w:after="120" w:line="264"/>
        <w:jc w:val="both"/>
      </w:pPr>
      <w:r>
        <w:rPr>
          <w:rFonts w:ascii="Calibri" w:cs="Calibri" w:eastAsia="Calibri" w:hAnsi="Calibri"/>
          <w:sz w:val="22"/>
          <w:szCs w:val="22"/>
        </w:rPr>
        <w:t xml:space="preserve">Lessor's remedies. Upon an Event of Default that remains uncured, the Lessor may, by written notice, rescind or terminate this Lease (Civil Code, Articles 1659 and 1673); demand payment of all amounts due and surrender of the Premises, allowing the lessee the period required by Rule 70, Section 2 of the Rules of Court (fifteen days for land, five days for buildings) or any longer period stated in the notice; apply the security deposit to the amounts due, with an itemized statement; and recover damages, including rent and charges until the Premises are actually surrendered. Any holdover after termination is without the Lessor's consent and does not renew this Lease. Deposit application: Apply the deposit only to due, documented obligations after notice where practicable, give an itemized statement, preserve the duty to mitigate, require replenishment only for valid applications, and refund the undisputed balance after surrender.</w:t>
      </w:r>
    </w:p>
    <w:p>
      <w:pPr>
        <w:keepLines/>
        <w:spacing w:after="120" w:line="264"/>
        <w:jc w:val="both"/>
      </w:pPr>
      <w:r>
        <w:rPr>
          <w:rFonts w:ascii="Calibri" w:cs="Calibri" w:eastAsia="Calibri" w:hAnsi="Calibri"/>
          <w:sz w:val="22"/>
          <w:szCs w:val="22"/>
        </w:rPr>
        <w:t xml:space="preserve">Lessor Events of Default and the Lessee's remedies. Each of the following is an Event of Default by the Lessor: (a) failure to deliver the Premises in the agreed condition by the long-stop date in the delayed-turnover terms; (b) failure to make a repair that is the Lessor's responsibility within 30 days after written notice, or immediately in an emergency; (c) disturbance of the Lessee's peaceful and adequate enjoyment of the Premises by the Lessor or anyone claiming through it; and (d) failure to account for or return the deposit or charges as agreed. Upon a Lessor Event of Default that remains uncured, the Lessee may, by written notice, rescind or terminate this Lease and recover damages, or recover damages only while keeping this Lease in force (Civil Code, Articles 1654 and 1659); suspend payment of rent while the Lessor fails to make the necessary repairs or to maintain the Lessee in peaceful and adequate enjoyment (Article 1658); and recover the unapplied deposit and advance rent.</w:t>
      </w:r>
    </w:p>
    <w:p>
      <w:pPr>
        <w:keepLines/>
        <w:spacing w:after="120" w:line="264"/>
        <w:jc w:val="both"/>
      </w:pPr>
      <w:r>
        <w:rPr>
          <w:rFonts w:ascii="Calibri" w:cs="Calibri" w:eastAsia="Calibri" w:hAnsi="Calibri"/>
          <w:sz w:val="22"/>
          <w:szCs w:val="22"/>
        </w:rPr>
        <w:t xml:space="preserve">Neither party has an optional right to end this Lease early. It may end before expiry only by written mutual agreement or under this Section for an uncured Event of Default.</w:t>
      </w:r>
    </w:p>
    <w:p>
      <w:pPr>
        <w:keepLines/>
        <w:spacing w:after="120" w:line="264"/>
        <w:jc w:val="both"/>
      </w:pPr>
      <w:r>
        <w:rPr>
          <w:rFonts w:ascii="Calibri" w:cs="Calibri" w:eastAsia="Calibri" w:hAnsi="Calibri"/>
          <w:sz w:val="22"/>
          <w:szCs w:val="22"/>
        </w:rPr>
        <w:t xml:space="preserve">Recovery of possession, lockout, utility interruption, seizure, disposal, and ejectment remain subject to the contract and applicable demand, due-process, and judicial rules. A default clause does not by itself authorize forcible or misleading self-help. Where Rule 70 applies to rent or condition default, preserve the legally sufficient demand to pay or comply and to vacate and the current procedural periods.</w:t>
      </w:r>
    </w:p>
    <w:p>
      <w:pPr>
        <w:pStyle w:val="Heading2"/>
        <w:keepNext/>
        <w:spacing w:after="120" w:before="240"/>
      </w:pPr>
      <w:r>
        <w:rPr>
          <w:rFonts w:ascii="Calibri" w:cs="Calibri" w:eastAsia="Calibri" w:hAnsi="Calibri"/>
          <w:b/>
          <w:bCs/>
          <w:color w:val="102B3F"/>
          <w:sz w:val="26"/>
          <w:szCs w:val="26"/>
        </w:rPr>
        <w:t xml:space="preserve">10. SURRENDER, NOTICES, DISPUTES, AND EXECUTION</w:t>
      </w:r>
    </w:p>
    <w:p>
      <w:pPr>
        <w:keepLines/>
        <w:spacing w:after="120" w:line="264"/>
        <w:jc w:val="both"/>
      </w:pPr>
      <w:r>
        <w:rPr>
          <w:rFonts w:ascii="Calibri" w:cs="Calibri" w:eastAsia="Calibri" w:hAnsi="Calibri"/>
          <w:sz w:val="22"/>
          <w:szCs w:val="22"/>
        </w:rPr>
        <w:t xml:space="preserve">Surrender and final turnover: By the termination date, cease operations, remove required property and signs, complete restoration and repairs, return keys/credentials, settle meters and documented charges, deliver permits/as-builts/warranties, allow joint inspection, sign a condition report, and preserve disputed-item and deposit reconciliation rights. Property left behind: Inventory, photograph, secure and notify the lessee; allow a reasonable lawful claim period; do not deem ownership transferred or dispose/sell property without a reviewed legal and contractual basis, accounting, privacy protection, and treatment of hazardous or perishable items.</w:t>
      </w:r>
    </w:p>
    <w:p>
      <w:pPr>
        <w:keepLines/>
        <w:spacing w:after="120" w:line="264"/>
        <w:jc w:val="both"/>
      </w:pPr>
      <w:r>
        <w:rPr>
          <w:rFonts w:ascii="Calibri" w:cs="Calibri" w:eastAsia="Calibri" w:hAnsi="Calibri"/>
          <w:sz w:val="22"/>
          <w:szCs w:val="22"/>
        </w:rPr>
        <w:t xml:space="preserve">Notices: Signed notices go by personal or recognized courier delivery to the stated addresses and authenticated PDF email to legal@mabini.example and notices@bayanihan.example, with delivery/receipt evidence; renewal, default, termination, account-change and possession notices require both physical and authenticated electronic delivery unless current law requires more. Dispute route: negotiation mediation courts. Any court action arising from this Lease, including for possession, shall be filed exclusively in the proper courts of Makati City, to the exclusion of all other courts, subject to mandatory jurisdiction and to registry, regulator, and tax proceedings.</w:t>
      </w:r>
    </w:p>
    <w:p>
      <w:pPr>
        <w:keepLines/>
        <w:spacing w:after="120" w:line="264"/>
        <w:jc w:val="both"/>
      </w:pPr>
      <w:r>
        <w:rPr>
          <w:rFonts w:ascii="Calibri" w:cs="Calibri" w:eastAsia="Calibri" w:hAnsi="Calibri"/>
          <w:sz w:val="22"/>
          <w:szCs w:val="22"/>
        </w:rPr>
        <w:t xml:space="preserve">Execution route: paper signatures acknowledged before a Philippine notary public. Notarial venue: Makati City. The parties and two instrumental witnesses sign the left margin of every page and in full on the signature page.</w:t>
      </w:r>
    </w:p>
    <w:p>
      <w:pPr>
        <w:keepLines/>
        <w:spacing w:after="120" w:line="264"/>
        <w:jc w:val="both"/>
      </w:pPr>
      <w:r>
        <w:rPr>
          <w:rFonts w:ascii="Calibri" w:cs="Calibri" w:eastAsia="Calibri" w:hAnsi="Calibri"/>
          <w:sz w:val="22"/>
          <w:szCs w:val="22"/>
        </w:rPr>
        <w:t xml:space="preserve">This lease, its plans, turnover report, rent/CAM/tax schedules, fit-out approval, building rules, permits, insurance, authority, notices, and signed amendments form the complete documented transaction. A material commercial or property change requires an authorized written amendment and any renewed consent, permit, tax, notarial, or registry step.</w:t>
      </w:r>
    </w:p>
    <w:p>
      <w:pPr>
        <w:keepNext/>
        <w:spacing w:after="260" w:before="360"/>
      </w:pPr>
      <w:r>
        <w:rPr>
          <w:rFonts w:ascii="Calibri" w:cs="Calibri" w:eastAsia="Calibri" w:hAnsi="Calibri"/>
          <w:b/>
          <w:bCs/>
          <w:sz w:val="22"/>
          <w:szCs w:val="22"/>
        </w:rPr>
        <w:t xml:space="preserve">Each party signs through its verified authorized representative after approving every incorporated schedule and execution requirement:</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LESSOR</w:t>
            </w:r>
          </w:p>
          <w:p>
            <w:pPr>
              <w:spacing w:after="120"/>
            </w:pPr>
            <w:r>
              <w:rPr>
                <w:rFonts w:ascii="Calibri" w:cs="Calibri" w:eastAsia="Calibri" w:hAnsi="Calibri"/>
                <w:sz w:val="22"/>
                <w:szCs w:val="22"/>
              </w:rPr>
              <w:t xml:space="preserve">Mabini Commercial Properties, Inc.</w:t>
            </w:r>
          </w:p>
          <w:p>
            <w:pPr>
              <w:spacing w:after="120"/>
            </w:pPr>
            <w:r>
              <w:rPr>
                <w:rFonts w:ascii="Calibri" w:cs="Calibri" w:eastAsia="Calibri" w:hAnsi="Calibri"/>
                <w:sz w:val="22"/>
                <w:szCs w:val="22"/>
              </w:rPr>
              <w:t xml:space="preserve">By: Jose P. Reyes, President · authority: registered owner · signature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LESSEE</w:t>
            </w:r>
          </w:p>
          <w:p>
            <w:pPr>
              <w:spacing w:after="120"/>
            </w:pPr>
            <w:r>
              <w:rPr>
                <w:rFonts w:ascii="Calibri" w:cs="Calibri" w:eastAsia="Calibri" w:hAnsi="Calibri"/>
                <w:sz w:val="22"/>
                <w:szCs w:val="22"/>
              </w:rPr>
              <w:t xml:space="preserve">Bayanihan Retail Corporation</w:t>
            </w:r>
          </w:p>
          <w:p>
            <w:pPr>
              <w:spacing w:after="120"/>
            </w:pPr>
            <w:r>
              <w:rPr>
                <w:rFonts w:ascii="Calibri" w:cs="Calibri" w:eastAsia="Calibri" w:hAnsi="Calibri"/>
                <w:sz w:val="22"/>
                <w:szCs w:val="22"/>
              </w:rPr>
              <w:t xml:space="preserve">By: Laura M. Cruz, Chief Operating Officer · signature and date</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Instrumental witness · signature over printed name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Instrumental witness · signature over printed name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w:t>
      </w:r>
    </w:p>
    <w:p>
      <w:pPr>
        <w:keepLines/>
        <w:spacing w:after="120" w:line="264"/>
        <w:jc w:val="both"/>
      </w:pPr>
      <w:r>
        <w:rPr>
          <w:rFonts w:ascii="Calibri" w:cs="Calibri" w:eastAsia="Calibri" w:hAnsi="Calibri"/>
          <w:sz w:val="22"/>
          <w:szCs w:val="22"/>
        </w:rPr>
        <w:t xml:space="preserve">REPUBLIC OF THE PHILIPPINES )
MAKATI CITY ) S.S.</w:t>
      </w:r>
    </w:p>
    <w:p>
      <w:pPr>
        <w:keepLines/>
        <w:spacing w:after="120" w:line="264"/>
        <w:jc w:val="both"/>
      </w:pPr>
      <w:r>
        <w:rPr>
          <w:rFonts w:ascii="Calibri" w:cs="Calibri" w:eastAsia="Calibri" w:hAnsi="Calibri"/>
          <w:sz w:val="22"/>
          <w:szCs w:val="22"/>
        </w:rPr>
        <w:t xml:space="preserve">BEFORE ME, a Notary Public for and in Makati City, Philippines, on ____________________, personally appeared:</w:t>
      </w:r>
    </w:p>
    <w:p>
      <w:pPr>
        <w:keepLines/>
        <w:spacing w:after="120" w:line="264"/>
        <w:jc w:val="both"/>
      </w:pPr>
      <w:r>
        <w:rPr>
          <w:rFonts w:ascii="Calibri" w:cs="Calibri" w:eastAsia="Calibri" w:hAnsi="Calibri"/>
          <w:sz w:val="22"/>
          <w:szCs w:val="22"/>
        </w:rPr>
        <w:t xml:space="preserve">Jose P. Reyes, President, for Mabini Commercial Properties, Inc., the Lessor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Laura M. Cruz, Chief Operating Officer, for Bayanihan Retail Corporation, the Lessee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known to me and to me known to be the same persons who executed the foregoing Contract of Lease, and who acknowledged to me that it is their free and voluntary act and deed and that of the corporations, partnerships, or persons they represent. Jose P. Reyes, President and Laura M. Cruz, Chief Operating Officer each declared that he or she has the authority to sign in that capacity.</w:t>
      </w:r>
    </w:p>
    <w:p>
      <w:pPr>
        <w:keepLines/>
        <w:spacing w:after="120" w:line="264"/>
        <w:jc w:val="both"/>
      </w:pPr>
      <w:r>
        <w:rPr>
          <w:rFonts w:ascii="Calibri" w:cs="Calibri" w:eastAsia="Calibri" w:hAnsi="Calibri"/>
          <w:sz w:val="22"/>
          <w:szCs w:val="22"/>
        </w:rPr>
        <w:t xml:space="preserve">This instrument, consisting of ____ (__) pages, including the page on which this acknowledgment is written, refers to a Contract of Lease over Unit 501, Mabini Commerce Center, 12 Mabini Avenue, Barangay San Lorenzo, Makati City 1226, Philippines, and has been signed by the parties and their instrumental witnesses on the left margin of each and every page thereof and sealed with my notarial seal.</w:t>
      </w:r>
    </w:p>
    <w:p>
      <w:pPr>
        <w:keepLines/>
        <w:spacing w:after="120" w:line="264"/>
        <w:jc w:val="both"/>
      </w:pPr>
      <w:r>
        <w:rPr>
          <w:rFonts w:ascii="Calibri" w:cs="Calibri" w:eastAsia="Calibri" w:hAnsi="Calibri"/>
          <w:sz w:val="22"/>
          <w:szCs w:val="22"/>
        </w:rPr>
        <w:t xml:space="preserve">WITNESS MY HAND AND SEAL on the date and at the place first written above.</w:t>
      </w:r>
    </w:p>
    <w:p>
      <w:pPr>
        <w:keepLines/>
        <w:spacing w:after="120" w:line="264"/>
        <w:jc w:val="both"/>
      </w:pPr>
      <w:r>
        <w:rPr>
          <w:rFonts w:ascii="Calibri" w:cs="Calibri" w:eastAsia="Calibri" w:hAnsi="Calibri"/>
          <w:sz w:val="22"/>
          <w:szCs w:val="22"/>
        </w:rPr>
        <w:t xml:space="preserve">NOTARY PUBLIC
Commission No.: __________________ Until: __________________
Roll of Attorneys No.: __________________
PTR No. / IBP No.: __________________
Office address: __________________</w:t>
      </w:r>
    </w:p>
    <w:p>
      <w:pPr>
        <w:keepLines/>
        <w:spacing w:after="120" w:line="264"/>
        <w:jc w:val="both"/>
      </w:pPr>
      <w:r>
        <w:rPr>
          <w:rFonts w:ascii="Calibri" w:cs="Calibri" w:eastAsia="Calibri" w:hAnsi="Calibri"/>
          <w:sz w:val="22"/>
          <w:szCs w:val="22"/>
        </w:rPr>
        <w:t xml:space="preserve">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The parties and both instrumental witnesses sign the left margin of every page, and sign in full on the signature page. The notary states the number of pages in the acknowledgment. This makes the lease registrable (P.D. 1529, Section 112); an unregistered lease does not bind third persons such as a buyer or a foreclosing mortgagee (Civil Code, Article 1648).</w:t>
      </w:r>
    </w:p>
    <w:p>
      <w:pPr>
        <w:pStyle w:val="ListParagraph"/>
        <w:keepNext/>
        <w:numPr>
          <w:ilvl w:val="0"/>
          <w:numId w:val="1"/>
        </w:numPr>
        <w:spacing w:after="120" w:line="264"/>
      </w:pPr>
      <w:r>
        <w:rPr>
          <w:rFonts w:ascii="Calibri" w:cs="Calibri" w:eastAsia="Calibri" w:hAnsi="Calibri"/>
          <w:sz w:val="22"/>
          <w:szCs w:val="22"/>
        </w:rPr>
        <w:t xml:space="preserve">Obtain current certified title/CCT/OCT, tax declaration, owner identity, marital/co-ownership consent, authority, mortgage and lien record, superior leases, condominium or building rules, and any mortgagee recognition/non-disturbance required for the term and investment.</w:t>
      </w:r>
    </w:p>
    <w:p>
      <w:pPr>
        <w:pStyle w:val="ListParagraph"/>
        <w:keepNext/>
        <w:numPr>
          <w:ilvl w:val="0"/>
          <w:numId w:val="1"/>
        </w:numPr>
        <w:spacing w:after="120" w:line="264"/>
      </w:pPr>
      <w:r>
        <w:rPr>
          <w:rFonts w:ascii="Calibri" w:cs="Calibri" w:eastAsia="Calibri" w:hAnsi="Calibri"/>
          <w:sz w:val="22"/>
          <w:szCs w:val="22"/>
        </w:rPr>
        <w:t xml:space="preserve">Attach a scaled signed plan, exact area/measurement record, included fixtures and systems, parking/storage/loading/access schedule, dated condition report, photographs, meter readings, keys/access inventory, disclosed defects, and base-building work list.</w:t>
      </w:r>
    </w:p>
    <w:p>
      <w:pPr>
        <w:pStyle w:val="ListParagraph"/>
        <w:keepNext/>
        <w:numPr>
          <w:ilvl w:val="0"/>
          <w:numId w:val="1"/>
        </w:numPr>
        <w:spacing w:after="120" w:line="264"/>
      </w:pPr>
      <w:r>
        <w:rPr>
          <w:rFonts w:ascii="Calibri" w:cs="Calibri" w:eastAsia="Calibri" w:hAnsi="Calibri"/>
          <w:sz w:val="22"/>
          <w:szCs w:val="22"/>
        </w:rPr>
        <w:t xml:space="preserve">Verify zoning, occupancy, building, fire, accessibility, OSH, sanitation, business, signage, environmental, waste, equipment, PEZA/zone, condominium/mall, and activity-specific licenses with the responsible authorities; a lessor or template cannot guarantee government approval.</w:t>
      </w:r>
    </w:p>
    <w:p>
      <w:pPr>
        <w:pStyle w:val="ListParagraph"/>
        <w:keepNext/>
        <w:numPr>
          <w:ilvl w:val="0"/>
          <w:numId w:val="1"/>
        </w:numPr>
        <w:spacing w:after="120" w:line="264"/>
      </w:pPr>
      <w:r>
        <w:rPr>
          <w:rFonts w:ascii="Calibri" w:cs="Calibri" w:eastAsia="Calibri" w:hAnsi="Calibri"/>
          <w:sz w:val="22"/>
          <w:szCs w:val="22"/>
        </w:rPr>
        <w:t xml:space="preserve">Reconcile turnover, fit-out access, lease start, rent/CAM/utilities start, rent-free period, expiry, renewal, holdover, long-stop, restoration, and deposit-refund dates across every schedule.</w:t>
      </w:r>
    </w:p>
    <w:p>
      <w:pPr>
        <w:pStyle w:val="ListParagraph"/>
        <w:keepNext/>
        <w:numPr>
          <w:ilvl w:val="0"/>
          <w:numId w:val="1"/>
        </w:numPr>
        <w:spacing w:after="120" w:line="264"/>
      </w:pPr>
      <w:r>
        <w:rPr>
          <w:rFonts w:ascii="Calibri" w:cs="Calibri" w:eastAsia="Calibri" w:hAnsi="Calibri"/>
          <w:sz w:val="22"/>
          <w:szCs w:val="22"/>
        </w:rPr>
        <w:t xml:space="preserve">Verify current BIR registration, VAT/percentage-tax treatment, compliant invoice, EWT base/rate and timing, Form 2307 delivery, lease DST computation under current Section 194, filing/payment channel, deadline, and evidence with a Philippine tax professional.</w:t>
      </w:r>
    </w:p>
    <w:p>
      <w:pPr>
        <w:pStyle w:val="ListParagraph"/>
        <w:keepNext/>
        <w:numPr>
          <w:ilvl w:val="0"/>
          <w:numId w:val="1"/>
        </w:numPr>
        <w:spacing w:after="120" w:line="264"/>
      </w:pPr>
      <w:r>
        <w:rPr>
          <w:rFonts w:ascii="Calibri" w:cs="Calibri" w:eastAsia="Calibri" w:hAnsi="Calibri"/>
          <w:sz w:val="22"/>
          <w:szCs w:val="22"/>
        </w:rPr>
        <w:t xml:space="preserve">Test CAM inclusions/exclusions, allocation denominator, vacancy/gross-up, capital items, management fee, utilities, tax, insurance, duplication, budget, statements, audit, contest, reconciliation, credit/refund, and any cap using a representative annual bill.</w:t>
      </w:r>
    </w:p>
    <w:p>
      <w:pPr>
        <w:pStyle w:val="ListParagraph"/>
        <w:keepNext/>
        <w:numPr>
          <w:ilvl w:val="0"/>
          <w:numId w:val="1"/>
        </w:numPr>
        <w:spacing w:after="120" w:line="264"/>
      </w:pPr>
      <w:r>
        <w:rPr>
          <w:rFonts w:ascii="Calibri" w:cs="Calibri" w:eastAsia="Calibri" w:hAnsi="Calibri"/>
          <w:sz w:val="22"/>
          <w:szCs w:val="22"/>
        </w:rPr>
        <w:t xml:space="preserve">Attach final fit-out plans, loads, permits, contractor licenses, insurance/bonds, safety method, access rules, utilities, inspection/acceptance, as-builts, warranties, lien prevention, trade-fixture ownership, required removals, and restoration standard before work begins.</w:t>
      </w:r>
    </w:p>
    <w:p>
      <w:pPr>
        <w:pStyle w:val="ListParagraph"/>
        <w:keepNext/>
        <w:numPr>
          <w:ilvl w:val="0"/>
          <w:numId w:val="1"/>
        </w:numPr>
        <w:spacing w:after="120" w:line="264"/>
      </w:pPr>
      <w:r>
        <w:rPr>
          <w:rFonts w:ascii="Calibri" w:cs="Calibri" w:eastAsia="Calibri" w:hAnsi="Calibri"/>
          <w:sz w:val="22"/>
          <w:szCs w:val="22"/>
        </w:rPr>
        <w:t xml:space="preserve">Confirm board/secretary/partnership/proprietor authority, long-term or foreign-lessee restrictions, special property regime, sublessor rights, mortgagee/owner consent, notarization, Registry of Deeds annotation, apostille/consular route, and recipient-original requirements.</w:t>
      </w:r>
    </w:p>
    <w:p>
      <w:pPr>
        <w:pStyle w:val="ListParagraph"/>
        <w:keepNext/>
        <w:numPr>
          <w:ilvl w:val="0"/>
          <w:numId w:val="1"/>
        </w:numPr>
        <w:spacing w:after="120" w:line="264"/>
      </w:pPr>
      <w:r>
        <w:rPr>
          <w:rFonts w:ascii="Calibri" w:cs="Calibri" w:eastAsia="Calibri" w:hAnsi="Calibri"/>
          <w:sz w:val="22"/>
          <w:szCs w:val="22"/>
        </w:rPr>
        <w:t xml:space="preserve">Preserve balanced default notices and cure evidence, statutory urgent-repair and rent-relief rights, casualty assessment, mitigation, demand to pay/comply and vacate where required, and judicial possession procedure; do not use unsupported lockout, cutoff, seizure, or disposal.</w:t>
      </w:r>
    </w:p>
    <w:p>
      <w:pPr>
        <w:pStyle w:val="ListParagraph"/>
        <w:keepNext w:val="false"/>
        <w:numPr>
          <w:ilvl w:val="0"/>
          <w:numId w:val="1"/>
        </w:numPr>
        <w:spacing w:after="120" w:line="264"/>
      </w:pPr>
      <w:r>
        <w:rPr>
          <w:rFonts w:ascii="Calibri" w:cs="Calibri" w:eastAsia="Calibri" w:hAnsi="Calibri"/>
          <w:sz w:val="22"/>
          <w:szCs w:val="22"/>
        </w:rPr>
        <w:t xml:space="preserve">At turnover and surrender, complete joint inspection, safe access, permit/status evidence, readings, key/credential inventory, damage/restoration list, itemized charge/deposit reconciliation, tax certificates, invoices, as-builts/warranties, and signed condition record without falsely certifying disputed facts.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real-estate and tax-lawyer review pending | Last legal check 2026-10-01 | Next review due 2026-10-31</w:t>
      </w:r>
    </w:p>
    <w:p>
      <w:pPr>
        <w:keepNext/>
        <w:spacing w:after="60" w:before="100"/>
      </w:pPr>
      <w:r>
        <w:rPr>
          <w:rFonts w:ascii="Calibri" w:cs="Calibri" w:eastAsia="Calibri" w:hAnsi="Calibri"/>
          <w:b/>
          <w:bCs/>
          <w:sz w:val="18"/>
          <w:szCs w:val="18"/>
        </w:rPr>
        <w:t xml:space="preserve">Republic Act No. 386 — Civil Code of the Philippines - Articles 1159, 1229, 1305–1408, 1642–1688, and 1878 — contracts, form, Statute of Frauds, lease term, authority, sublease, Art. 1648 (unrecorded lease does not bind third persons), Art. 1659 (rescission and damages for breach), Art. 1673 (judicial ejectment causes), repairs, improvements, expiry, implied renewal, purchaser effects, and special power (checked 2026-10-01)</w:t>
      </w:r>
    </w:p>
    <w:p>
      <w:pPr>
        <w:spacing w:after="120"/>
      </w:pPr>
      <w:hyperlink w:history="1" r:id="rIdragnfgzev-fqxohabvicv">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Rules of Court — Rule 70 (Forcible Entry and Unlawful Detainer) - Section 2: demand to pay or comply with the conditions of the lease and to vacate; action only after the lessee fails to comply within fifteen days for land or five days for buildings (checked 2026-10-01)</w:t>
      </w:r>
    </w:p>
    <w:p>
      <w:pPr>
        <w:spacing w:after="120"/>
      </w:pPr>
      <w:hyperlink w:history="1" r:id="rIdfygjcx9j7xhoiganyq_y0">
        <w:r>
          <w:rPr>
            <w:rFonts w:ascii="Calibri" w:cs="Calibri" w:eastAsia="Calibri" w:hAnsi="Calibri"/>
            <w:color w:val="315B75"/>
            <w:sz w:val="17"/>
            <w:szCs w:val="17"/>
            <w:u w:val="single"/>
          </w:rPr>
          <w:t xml:space="preserve">https://lawphil.net/courts/rules/rc_1-71_civil.html</w:t>
        </w:r>
      </w:hyperlink>
    </w:p>
    <w:p>
      <w:pPr>
        <w:keepNext/>
        <w:spacing w:after="60" w:before="100"/>
      </w:pPr>
      <w:r>
        <w:rPr>
          <w:rFonts w:ascii="Calibri" w:cs="Calibri" w:eastAsia="Calibri" w:hAnsi="Calibri"/>
          <w:b/>
          <w:bCs/>
          <w:sz w:val="18"/>
          <w:szCs w:val="18"/>
        </w:rPr>
        <w:t xml:space="preserve">Quesada v. Bonanza Restaurants, Inc., G.R. No. 207500, November 14, 2016 - Unlawful detainer after rescission of a lease for violation of its conditions; the demand required by Rule 70 Section 2 (checked 2026-10-01)</w:t>
      </w:r>
    </w:p>
    <w:p>
      <w:pPr>
        <w:spacing w:after="120"/>
      </w:pPr>
      <w:hyperlink w:history="1" r:id="rIdhahqdzxh-zbhoqoofoan-">
        <w:r>
          <w:rPr>
            <w:rFonts w:ascii="Calibri" w:cs="Calibri" w:eastAsia="Calibri" w:hAnsi="Calibri"/>
            <w:color w:val="315B75"/>
            <w:sz w:val="17"/>
            <w:szCs w:val="17"/>
            <w:u w:val="single"/>
          </w:rPr>
          <w:t xml:space="preserve">https://lawphil.net/judjuris/juri2016/nov2016/gr_207500_2016.html</w:t>
        </w:r>
      </w:hyperlink>
    </w:p>
    <w:p>
      <w:pPr>
        <w:keepNext/>
        <w:spacing w:after="60" w:before="100"/>
      </w:pPr>
      <w:r>
        <w:rPr>
          <w:rFonts w:ascii="Calibri" w:cs="Calibri" w:eastAsia="Calibri" w:hAnsi="Calibri"/>
          <w:b/>
          <w:bCs/>
          <w:sz w:val="18"/>
          <w:szCs w:val="18"/>
        </w:rPr>
        <w:t xml:space="preserve">Presidential Decree No. 1529 — Property Registration Decree - Section 112: a registrable instrument is signed before at least two witnesses, and the acknowledgment states the number of pages and that each page was signed on the left margin and sealed (checked 2026-10-01)</w:t>
      </w:r>
    </w:p>
    <w:p>
      <w:pPr>
        <w:spacing w:after="120"/>
      </w:pPr>
      <w:hyperlink w:history="1" r:id="rIdtmlav_1najntamhltfaxu">
        <w:r>
          <w:rPr>
            <w:rFonts w:ascii="Calibri" w:cs="Calibri" w:eastAsia="Calibri" w:hAnsi="Calibri"/>
            <w:color w:val="315B75"/>
            <w:sz w:val="17"/>
            <w:szCs w:val="17"/>
            <w:u w:val="single"/>
          </w:rPr>
          <w:t xml:space="preserve">https://lawphil.net/statutes/presdecs/pd1978/pd_1529_1978.html</w:t>
        </w:r>
      </w:hyperlink>
    </w:p>
    <w:p>
      <w:pPr>
        <w:keepNext/>
        <w:spacing w:after="60" w:before="100"/>
      </w:pPr>
      <w:r>
        <w:rPr>
          <w:rFonts w:ascii="Calibri" w:cs="Calibri" w:eastAsia="Calibri" w:hAnsi="Calibri"/>
          <w:b/>
          <w:bCs/>
          <w:sz w:val="18"/>
          <w:szCs w:val="18"/>
        </w:rPr>
        <w:t xml:space="preserve">Republic Act No. 10963 — TRAIN Law - Section 67 amending NIRC Section 194 — documentary stamp tax on leases and other hiring agreements (checked 2026-08-30)</w:t>
      </w:r>
    </w:p>
    <w:p>
      <w:pPr>
        <w:spacing w:after="120"/>
      </w:pPr>
      <w:hyperlink w:history="1" r:id="rIdz1oohxouivuj9fgqbdbbk">
        <w:r>
          <w:rPr>
            <w:rFonts w:ascii="Calibri" w:cs="Calibri" w:eastAsia="Calibri" w:hAnsi="Calibri"/>
            <w:color w:val="315B75"/>
            <w:sz w:val="17"/>
            <w:szCs w:val="17"/>
            <w:u w:val="single"/>
          </w:rPr>
          <w:t xml:space="preserve">https://lawphil.net/statutes/repacts/ra2017/ra_10963_2017.html</w:t>
        </w:r>
      </w:hyperlink>
    </w:p>
    <w:p>
      <w:pPr>
        <w:keepNext/>
        <w:spacing w:after="60" w:before="100"/>
      </w:pPr>
      <w:r>
        <w:rPr>
          <w:rFonts w:ascii="Calibri" w:cs="Calibri" w:eastAsia="Calibri" w:hAnsi="Calibri"/>
          <w:b/>
          <w:bCs/>
          <w:sz w:val="18"/>
          <w:szCs w:val="18"/>
        </w:rPr>
        <w:t xml:space="preserve">Revenue Regulations No. 11-2018 — Withholding Tax Amendments - Five-percent expanded withholding tax route for gross rentals of real property used in business, subject to current taxpayer and transaction facts (checked 2026-08-30)</w:t>
      </w:r>
    </w:p>
    <w:p>
      <w:pPr>
        <w:spacing w:after="120"/>
      </w:pPr>
      <w:hyperlink w:history="1" r:id="rIdbs9safxw5hk8tzfpqe_pc">
        <w:r>
          <w:rPr>
            <w:rFonts w:ascii="Calibri" w:cs="Calibri" w:eastAsia="Calibri" w:hAnsi="Calibri"/>
            <w:color w:val="315B75"/>
            <w:sz w:val="17"/>
            <w:szCs w:val="17"/>
            <w:u w:val="single"/>
          </w:rPr>
          <w:t xml:space="preserve">https://bir-cdn.bir.gov.ph/local/pdf/Digest%20RR%2011-2018.pdf</w:t>
        </w:r>
      </w:hyperlink>
    </w:p>
    <w:p>
      <w:pPr>
        <w:keepNext/>
        <w:spacing w:after="60" w:before="100"/>
      </w:pPr>
      <w:r>
        <w:rPr>
          <w:rFonts w:ascii="Calibri" w:cs="Calibri" w:eastAsia="Calibri" w:hAnsi="Calibri"/>
          <w:b/>
          <w:bCs/>
          <w:sz w:val="18"/>
          <w:szCs w:val="18"/>
        </w:rPr>
        <w:t xml:space="preserve">Revenue Memorandum Circular No. 5-2025 — EOPT Lease Clarifications - Current invoice, VAT input, payable/accrual, and lease withholding-tax timing clarifications under EOPT rules (checked 2026-08-30)</w:t>
      </w:r>
    </w:p>
    <w:p>
      <w:pPr>
        <w:spacing w:after="120"/>
      </w:pPr>
      <w:hyperlink w:history="1" r:id="rIdijbsqqntacpdwte8cj9cb">
        <w:r>
          <w:rPr>
            <w:rFonts w:ascii="Calibri" w:cs="Calibri" w:eastAsia="Calibri" w:hAnsi="Calibri"/>
            <w:color w:val="315B75"/>
            <w:sz w:val="17"/>
            <w:szCs w:val="17"/>
            <w:u w:val="single"/>
          </w:rPr>
          <w:t xml:space="preserve">https://bir-cdn.bir.gov.ph/BIR/pdf/RMC%20No.%205-2025.pdf</w:t>
        </w:r>
      </w:hyperlink>
    </w:p>
    <w:p>
      <w:pPr>
        <w:keepNext/>
        <w:spacing w:after="60" w:before="100"/>
      </w:pPr>
      <w:r>
        <w:rPr>
          <w:rFonts w:ascii="Calibri" w:cs="Calibri" w:eastAsia="Calibri" w:hAnsi="Calibri"/>
          <w:b/>
          <w:bCs/>
          <w:sz w:val="18"/>
          <w:szCs w:val="18"/>
        </w:rPr>
        <w:t xml:space="preserve">A.M. No. 02-8-13-SC — 2004 Rules on Notarial Practice - Personal appearance, competent identity evidence, acknowledgment including the representative's authority to sign in that capacity (Rule II, Sec. 1), notarial certificate, register, and prohibited acts (checked 2026-10-01)</w:t>
      </w:r>
    </w:p>
    <w:p>
      <w:pPr>
        <w:spacing w:after="120"/>
      </w:pPr>
      <w:hyperlink w:history="1" r:id="rId1dtemf3vnswzftmntr5re">
        <w:r>
          <w:rPr>
            <w:rFonts w:ascii="Calibri" w:cs="Calibri" w:eastAsia="Calibri" w:hAnsi="Calibri"/>
            <w:color w:val="315B75"/>
            <w:sz w:val="17"/>
            <w:szCs w:val="17"/>
            <w:u w:val="single"/>
          </w:rPr>
          <w:t xml:space="preserve">https://sc.judiciary.gov.ph/wp-content/uploads/2022/08/02-08-13-SC-1.pdf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gnfgzev-fqxohabvicv" Type="http://schemas.openxmlformats.org/officeDocument/2006/relationships/hyperlink" Target="https://lawphil.net/statutes/repacts/ra1949/ra_386_1949.html" TargetMode="External"/><Relationship Id="rIdfygjcx9j7xhoiganyq_y0" Type="http://schemas.openxmlformats.org/officeDocument/2006/relationships/hyperlink" Target="https://lawphil.net/courts/rules/rc_1-71_civil.html" TargetMode="External"/><Relationship Id="rIdhahqdzxh-zbhoqoofoan-" Type="http://schemas.openxmlformats.org/officeDocument/2006/relationships/hyperlink" Target="https://lawphil.net/judjuris/juri2016/nov2016/gr_207500_2016.html" TargetMode="External"/><Relationship Id="rIdtmlav_1najntamhltfaxu" Type="http://schemas.openxmlformats.org/officeDocument/2006/relationships/hyperlink" Target="https://lawphil.net/statutes/presdecs/pd1978/pd_1529_1978.html" TargetMode="External"/><Relationship Id="rIdz1oohxouivuj9fgqbdbbk" Type="http://schemas.openxmlformats.org/officeDocument/2006/relationships/hyperlink" Target="https://lawphil.net/statutes/repacts/ra2017/ra_10963_2017.html" TargetMode="External"/><Relationship Id="rIdbs9safxw5hk8tzfpqe_pc" Type="http://schemas.openxmlformats.org/officeDocument/2006/relationships/hyperlink" Target="https://bir-cdn.bir.gov.ph/local/pdf/Digest%20RR%2011-2018.pdf" TargetMode="External"/><Relationship Id="rIdijbsqqntacpdwte8cj9cb" Type="http://schemas.openxmlformats.org/officeDocument/2006/relationships/hyperlink" Target="https://bir-cdn.bir.gov.ph/BIR/pdf/RMC%20No.%205-2025.pdf" TargetMode="External"/><Relationship Id="rId1dtemf3vnswzftmntr5re" Type="http://schemas.openxmlformats.org/officeDocument/2006/relationships/hyperlink" Target="https://sc.judiciary.gov.ph/wp-content/uploads/2022/08/02-08-13-SC-1.pdf"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Lease Agreement</dc:title>
  <dc:creator>LAW.PH</dc:creator>
  <dc:description>Free sample of the Commercial Lease Agreement from LAW.PH, with fictional details</dc:description>
  <cp:lastModifiedBy>Un-named</cp:lastModifiedBy>
  <cp:revision>1</cp:revision>
  <dcterms:created xsi:type="dcterms:W3CDTF">2026-10-02T05:29:57.024Z</dcterms:created>
  <dcterms:modified xsi:type="dcterms:W3CDTF">2026-10-02T05:29:57.024Z</dcterms:modified>
</cp:coreProperties>
</file>

<file path=docProps/custom.xml><?xml version="1.0" encoding="utf-8"?>
<Properties xmlns="http://schemas.openxmlformats.org/officeDocument/2006/custom-properties" xmlns:vt="http://schemas.openxmlformats.org/officeDocument/2006/docPropsVTypes"/>
</file>