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MUTUAL CONFIDENTIALITY AND NON-DISCLOSURE AGREEMENT</w:t>
      </w:r>
    </w:p>
    <w:p>
      <w:pPr>
        <w:spacing w:after="160"/>
        <w:jc w:val="center"/>
      </w:pPr>
      <w:r>
        <w:rPr>
          <w:rFonts w:ascii="Calibri" w:cs="Calibri" w:eastAsia="Calibri" w:hAnsi="Calibri"/>
          <w:color w:val="566674"/>
          <w:sz w:val="18"/>
          <w:szCs w:val="18"/>
        </w:rPr>
        <w:t xml:space="preserve">Republic of the Philippines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lawyer review pending</w:t>
      </w:r>
    </w:p>
    <w:p>
      <w:pPr>
        <w:keepLines/>
        <w:spacing w:after="120" w:line="264"/>
        <w:jc w:val="both"/>
      </w:pPr>
      <w:r>
        <w:rPr>
          <w:rFonts w:ascii="Calibri" w:cs="Calibri" w:eastAsia="Calibri" w:hAnsi="Calibri"/>
          <w:sz w:val="22"/>
          <w:szCs w:val="22"/>
        </w:rPr>
        <w:t xml:space="preserve">This Confidentiality and Non-Disclosure Agreement (the “Agreement”) is made effective August 29, 2026 by and between Sampaguita Labs, Inc., a corporation, with address at 100 Ayala Avenue, Makati City 1226, and Juan Dela Cruz, an individual, with address at 20 Session Road, Baguio City 2600.</w:t>
      </w:r>
    </w:p>
    <w:p>
      <w:pPr>
        <w:keepLines/>
        <w:spacing w:after="120" w:line="264"/>
        <w:jc w:val="both"/>
      </w:pPr>
      <w:r>
        <w:rPr>
          <w:rFonts w:ascii="Calibri" w:cs="Calibri" w:eastAsia="Calibri" w:hAnsi="Calibri"/>
          <w:sz w:val="22"/>
          <w:szCs w:val="22"/>
        </w:rPr>
        <w:t xml:space="preserve">Each party may disclose Confidential Information and, for a particular disclosure, is the “Disclosing Party”; the party receiving it is the “Receiving Party.”</w:t>
      </w:r>
    </w:p>
    <w:p>
      <w:pPr>
        <w:keepLines/>
        <w:spacing w:after="120" w:line="264"/>
        <w:jc w:val="both"/>
      </w:pPr>
      <w:r>
        <w:rPr>
          <w:rFonts w:ascii="Calibri" w:cs="Calibri" w:eastAsia="Calibri" w:hAnsi="Calibri"/>
          <w:sz w:val="22"/>
          <w:szCs w:val="22"/>
        </w:rPr>
        <w:t xml:space="preserve">The parties wish to exchange information solely to evaluate and negotiate a possible software development engagement (the “Purpose”). In consideration of access to Confidential Information and the parties' mutual promises, they agree as follows.</w:t>
      </w:r>
    </w:p>
    <w:p>
      <w:pPr>
        <w:pStyle w:val="Heading2"/>
        <w:keepNext/>
        <w:spacing w:after="120" w:before="240"/>
      </w:pPr>
      <w:r>
        <w:rPr>
          <w:rFonts w:ascii="Calibri" w:cs="Calibri" w:eastAsia="Calibri" w:hAnsi="Calibri"/>
          <w:b/>
          <w:bCs/>
          <w:color w:val="102B3F"/>
          <w:sz w:val="26"/>
          <w:szCs w:val="26"/>
        </w:rPr>
        <w:t xml:space="preserve">1. Confidential Information</w:t>
      </w:r>
    </w:p>
    <w:p>
      <w:pPr>
        <w:keepLines/>
        <w:spacing w:after="120" w:line="264"/>
        <w:jc w:val="both"/>
      </w:pPr>
      <w:r>
        <w:rPr>
          <w:rFonts w:ascii="Calibri" w:cs="Calibri" w:eastAsia="Calibri" w:hAnsi="Calibri"/>
          <w:sz w:val="22"/>
          <w:szCs w:val="22"/>
        </w:rPr>
        <w:t xml:space="preserve">“Confidential Information” means non-public information disclosed for the Purpose, in any form, including business plans, operations, methods, forecasts and strategies, and prices, costs, budgets, accounts and other financial information. It includes information marked confidential and information that a reasonable person would understand to be confidential given its nature or the circumstances of disclosure.</w:t>
      </w:r>
    </w:p>
    <w:p>
      <w:pPr>
        <w:pStyle w:val="Heading2"/>
        <w:keepNext/>
        <w:spacing w:after="120" w:before="240"/>
      </w:pPr>
      <w:r>
        <w:rPr>
          <w:rFonts w:ascii="Calibri" w:cs="Calibri" w:eastAsia="Calibri" w:hAnsi="Calibri"/>
          <w:b/>
          <w:bCs/>
          <w:color w:val="102B3F"/>
          <w:sz w:val="26"/>
          <w:szCs w:val="26"/>
        </w:rPr>
        <w:t xml:space="preserve">2. Exclusions</w:t>
      </w:r>
    </w:p>
    <w:p>
      <w:pPr>
        <w:keepLines/>
        <w:spacing w:after="120" w:line="264"/>
        <w:jc w:val="both"/>
      </w:pPr>
      <w:r>
        <w:rPr>
          <w:rFonts w:ascii="Calibri" w:cs="Calibri" w:eastAsia="Calibri" w:hAnsi="Calibri"/>
          <w:sz w:val="22"/>
          <w:szCs w:val="22"/>
        </w:rPr>
        <w:t xml:space="preserve">Confidential Information does not include information that the Receiving Party can show through contemporaneous records: (a) was lawfully known without a duty of confidentiality before disclosure; (b) becomes public through no breach of this Agreement; (c) is received lawfully from a third party without a confidentiality duty; or (d) is independently developed without use of the Disclosing Party's Confidential Information.</w:t>
      </w:r>
    </w:p>
    <w:p>
      <w:pPr>
        <w:pStyle w:val="Heading2"/>
        <w:keepNext/>
        <w:spacing w:after="120" w:before="240"/>
      </w:pPr>
      <w:r>
        <w:rPr>
          <w:rFonts w:ascii="Calibri" w:cs="Calibri" w:eastAsia="Calibri" w:hAnsi="Calibri"/>
          <w:b/>
          <w:bCs/>
          <w:color w:val="102B3F"/>
          <w:sz w:val="26"/>
          <w:szCs w:val="26"/>
        </w:rPr>
        <w:t xml:space="preserve">3. Limited use and protection</w:t>
      </w:r>
    </w:p>
    <w:p>
      <w:pPr>
        <w:keepLines/>
        <w:spacing w:after="120" w:line="264"/>
        <w:jc w:val="both"/>
      </w:pPr>
      <w:r>
        <w:rPr>
          <w:rFonts w:ascii="Calibri" w:cs="Calibri" w:eastAsia="Calibri" w:hAnsi="Calibri"/>
          <w:sz w:val="22"/>
          <w:szCs w:val="22"/>
        </w:rPr>
        <w:t xml:space="preserve">Each Receiving Party shall: (a) use Confidential Information only for the Purpose; (b) protect it with at least reasonable care and no less care than it uses for its own similar information; (c) disclose it only to its directors, officers, employees, professional advisers, and contractors who need it for the Purpose and are bound by confidentiality duties at least as protective as this Agreement; (d) remain responsible for any breach by those persons to the extent allowed by law; and (e) promptly notify the Disclosing Party in writing on learning of any unauthorized access to, use of, or disclosure of Confidential Information, and cooperate with the Disclosing Party to contain it.</w:t>
      </w:r>
    </w:p>
    <w:p>
      <w:pPr>
        <w:pStyle w:val="Heading2"/>
        <w:keepNext/>
        <w:spacing w:after="120" w:before="240"/>
      </w:pPr>
      <w:r>
        <w:rPr>
          <w:rFonts w:ascii="Calibri" w:cs="Calibri" w:eastAsia="Calibri" w:hAnsi="Calibri"/>
          <w:b/>
          <w:bCs/>
          <w:color w:val="102B3F"/>
          <w:sz w:val="26"/>
          <w:szCs w:val="26"/>
        </w:rPr>
        <w:t xml:space="preserve">4. Required disclosure</w:t>
      </w:r>
    </w:p>
    <w:p>
      <w:pPr>
        <w:keepLines/>
        <w:spacing w:after="120" w:line="264"/>
        <w:jc w:val="both"/>
      </w:pPr>
      <w:r>
        <w:rPr>
          <w:rFonts w:ascii="Calibri" w:cs="Calibri" w:eastAsia="Calibri" w:hAnsi="Calibri"/>
          <w:sz w:val="22"/>
          <w:szCs w:val="22"/>
        </w:rPr>
        <w:t xml:space="preserve">If law, regulation, or a valid order requires disclosure, the Receiving Party shall, to the extent legally permitted, promptly notify the Disclosing Party, disclose only what is legally required, and reasonably assist efforts to obtain protective treatment.</w:t>
      </w:r>
    </w:p>
    <w:p>
      <w:pPr>
        <w:pStyle w:val="Heading2"/>
        <w:keepNext/>
        <w:spacing w:after="120" w:before="240"/>
      </w:pPr>
      <w:r>
        <w:rPr>
          <w:rFonts w:ascii="Calibri" w:cs="Calibri" w:eastAsia="Calibri" w:hAnsi="Calibri"/>
          <w:b/>
          <w:bCs/>
          <w:color w:val="102B3F"/>
          <w:sz w:val="26"/>
          <w:szCs w:val="26"/>
        </w:rPr>
        <w:t xml:space="preserve">5. Ownership; no commitment</w:t>
      </w:r>
    </w:p>
    <w:p>
      <w:pPr>
        <w:keepLines/>
        <w:spacing w:after="120" w:line="264"/>
        <w:jc w:val="both"/>
      </w:pPr>
      <w:r>
        <w:rPr>
          <w:rFonts w:ascii="Calibri" w:cs="Calibri" w:eastAsia="Calibri" w:hAnsi="Calibri"/>
          <w:sz w:val="22"/>
          <w:szCs w:val="22"/>
        </w:rPr>
        <w:t xml:space="preserve">Confidential Information remains the Disclosing Party's property. No license or other intellectual-property right is granted except the limited right to evaluate or use the information for the Purpose. Neither party is required to proceed with any proposed transaction, and information is provided without a warranty of accuracy or completeness except as separately agreed in writing.</w:t>
      </w:r>
    </w:p>
    <w:p>
      <w:pPr>
        <w:pStyle w:val="Heading2"/>
        <w:keepNext/>
        <w:spacing w:after="120" w:before="240"/>
      </w:pPr>
      <w:r>
        <w:rPr>
          <w:rFonts w:ascii="Calibri" w:cs="Calibri" w:eastAsia="Calibri" w:hAnsi="Calibri"/>
          <w:b/>
          <w:bCs/>
          <w:color w:val="102B3F"/>
          <w:sz w:val="26"/>
          <w:szCs w:val="26"/>
        </w:rPr>
        <w:t xml:space="preserve">6. Return or destruction</w:t>
      </w:r>
    </w:p>
    <w:p>
      <w:pPr>
        <w:keepLines/>
        <w:spacing w:after="120" w:line="264"/>
        <w:jc w:val="both"/>
      </w:pPr>
      <w:r>
        <w:rPr>
          <w:rFonts w:ascii="Calibri" w:cs="Calibri" w:eastAsia="Calibri" w:hAnsi="Calibri"/>
          <w:sz w:val="22"/>
          <w:szCs w:val="22"/>
        </w:rPr>
        <w:t xml:space="preserve">Within 10 days after written request or termination of discussions, the Receiving Party shall return or securely destroy, as the Disclosing Party directs, all Confidential Information and copies under its control, except for one archival copy kept solely for legal or compliance purposes and routine backups not reasonably accessible in ordinary operations. Retained information remains subject to this Agreement.</w:t>
      </w:r>
    </w:p>
    <w:p>
      <w:pPr>
        <w:pStyle w:val="Heading2"/>
        <w:keepNext/>
        <w:spacing w:after="120" w:before="240"/>
      </w:pPr>
      <w:r>
        <w:rPr>
          <w:rFonts w:ascii="Calibri" w:cs="Calibri" w:eastAsia="Calibri" w:hAnsi="Calibri"/>
          <w:b/>
          <w:bCs/>
          <w:color w:val="102B3F"/>
          <w:sz w:val="26"/>
          <w:szCs w:val="26"/>
        </w:rPr>
        <w:t xml:space="preserve">7. Term and survival</w:t>
      </w:r>
    </w:p>
    <w:p>
      <w:pPr>
        <w:keepLines/>
        <w:spacing w:after="120" w:line="264"/>
        <w:jc w:val="both"/>
      </w:pPr>
      <w:r>
        <w:rPr>
          <w:rFonts w:ascii="Calibri" w:cs="Calibri" w:eastAsia="Calibri" w:hAnsi="Calibri"/>
          <w:sz w:val="22"/>
          <w:szCs w:val="22"/>
        </w:rPr>
        <w:t xml:space="preserve">This Agreement continues for 24 months from the effective date. The confidentiality and restricted-use duties for information disclosed during that period continue for 3 years after termination or expiry. Duties concerning personal data and information protected as a trade secret continue for so long as applicable law or the information's protected status requires.</w:t>
      </w:r>
    </w:p>
    <w:p>
      <w:pPr>
        <w:pStyle w:val="Heading2"/>
        <w:keepNext/>
        <w:spacing w:after="120" w:before="240"/>
      </w:pPr>
      <w:r>
        <w:rPr>
          <w:rFonts w:ascii="Calibri" w:cs="Calibri" w:eastAsia="Calibri" w:hAnsi="Calibri"/>
          <w:b/>
          <w:bCs/>
          <w:color w:val="102B3F"/>
          <w:sz w:val="26"/>
          <w:szCs w:val="26"/>
        </w:rPr>
        <w:t xml:space="preserve">8. Remedies</w:t>
      </w:r>
    </w:p>
    <w:p>
      <w:pPr>
        <w:keepLines/>
        <w:spacing w:after="120" w:line="264"/>
        <w:jc w:val="both"/>
      </w:pPr>
      <w:r>
        <w:rPr>
          <w:rFonts w:ascii="Calibri" w:cs="Calibri" w:eastAsia="Calibri" w:hAnsi="Calibri"/>
          <w:sz w:val="22"/>
          <w:szCs w:val="22"/>
        </w:rPr>
        <w:t xml:space="preserve">The parties acknowledge that unauthorized use or disclosure may cause harm for which damages may be inadequate. The affected party may seek any provisional, equitable, or other relief available under applicable law, without limiting other lawful remedies. This clause does not guarantee that a court will grant a particular remedy.</w:t>
      </w:r>
    </w:p>
    <w:p>
      <w:pPr>
        <w:pStyle w:val="Heading2"/>
        <w:keepNext/>
        <w:spacing w:after="120" w:before="240"/>
      </w:pPr>
      <w:r>
        <w:rPr>
          <w:rFonts w:ascii="Calibri" w:cs="Calibri" w:eastAsia="Calibri" w:hAnsi="Calibri"/>
          <w:b/>
          <w:bCs/>
          <w:color w:val="102B3F"/>
          <w:sz w:val="26"/>
          <w:szCs w:val="26"/>
        </w:rPr>
        <w:t xml:space="preserve">9. Notices</w:t>
      </w:r>
    </w:p>
    <w:p>
      <w:pPr>
        <w:keepLines/>
        <w:spacing w:after="120" w:line="264"/>
        <w:jc w:val="both"/>
      </w:pPr>
      <w:r>
        <w:rPr>
          <w:rFonts w:ascii="Calibri" w:cs="Calibri" w:eastAsia="Calibri" w:hAnsi="Calibri"/>
          <w:sz w:val="22"/>
          <w:szCs w:val="22"/>
        </w:rPr>
        <w:t xml:space="preserve">Notices under this Agreement must be in writing and delivered personally, by reputable courier, or by email with evidence of transmission. Notices to Sampaguita Labs, Inc. shall be sent to 100 Ayala Avenue, Makati City 1226; notices to Juan Dela Cruz shall be sent to 20 Session Road, Baguio City 2600, or to replacement contact details later designated in writing. A notice is effective upon documented receipt.</w:t>
      </w:r>
    </w:p>
    <w:p>
      <w:pPr>
        <w:pStyle w:val="Heading2"/>
        <w:keepNext/>
        <w:spacing w:after="120" w:before="240"/>
      </w:pPr>
      <w:r>
        <w:rPr>
          <w:rFonts w:ascii="Calibri" w:cs="Calibri" w:eastAsia="Calibri" w:hAnsi="Calibri"/>
          <w:b/>
          <w:bCs/>
          <w:color w:val="102B3F"/>
          <w:sz w:val="26"/>
          <w:szCs w:val="26"/>
        </w:rPr>
        <w:t xml:space="preserve">10. Governing law and venue</w:t>
      </w:r>
    </w:p>
    <w:p>
      <w:pPr>
        <w:keepLines/>
        <w:spacing w:after="120" w:line="264"/>
        <w:jc w:val="both"/>
      </w:pPr>
      <w:r>
        <w:rPr>
          <w:rFonts w:ascii="Calibri" w:cs="Calibri" w:eastAsia="Calibri" w:hAnsi="Calibri"/>
          <w:sz w:val="22"/>
          <w:szCs w:val="22"/>
        </w:rPr>
        <w:t xml:space="preserve">This Agreement is governed by the laws of the Republic of the Philippines. Subject to mandatory law and rules on jurisdiction, the parties agree that actions arising from this Agreement shall be brought exclusively before the proper courts of Makati City.</w:t>
      </w:r>
    </w:p>
    <w:p>
      <w:pPr>
        <w:pStyle w:val="Heading2"/>
        <w:keepNext/>
        <w:spacing w:after="120" w:before="240"/>
      </w:pPr>
      <w:r>
        <w:rPr>
          <w:rFonts w:ascii="Calibri" w:cs="Calibri" w:eastAsia="Calibri" w:hAnsi="Calibri"/>
          <w:b/>
          <w:bCs/>
          <w:color w:val="102B3F"/>
          <w:sz w:val="26"/>
          <w:szCs w:val="26"/>
        </w:rPr>
        <w:t xml:space="preserve">11. General terms</w:t>
      </w:r>
    </w:p>
    <w:p>
      <w:pPr>
        <w:keepLines/>
        <w:spacing w:after="120" w:line="264"/>
        <w:jc w:val="both"/>
      </w:pPr>
      <w:r>
        <w:rPr>
          <w:rFonts w:ascii="Calibri" w:cs="Calibri" w:eastAsia="Calibri" w:hAnsi="Calibri"/>
          <w:sz w:val="22"/>
          <w:szCs w:val="22"/>
        </w:rPr>
        <w:t xml:space="preserve">Neither party may assign this Agreement without the other party's prior written consent, except to a successor in a merger or transfer of substantially all relevant assets that assumes this Agreement in writing. This Agreement is the entire agreement on its subject and may be amended only in a writing signed by both parties. Failure to enforce a provision is not a waiver. If a provision is unenforceable, it shall be limited to the minimum extent necessary, and the remainder continues in effect.</w:t>
      </w:r>
    </w:p>
    <w:p>
      <w:pPr>
        <w:pStyle w:val="Heading2"/>
        <w:keepNext/>
        <w:spacing w:after="120" w:before="240"/>
      </w:pPr>
      <w:r>
        <w:rPr>
          <w:rFonts w:ascii="Calibri" w:cs="Calibri" w:eastAsia="Calibri" w:hAnsi="Calibri"/>
          <w:b/>
          <w:bCs/>
          <w:color w:val="102B3F"/>
          <w:sz w:val="26"/>
          <w:szCs w:val="26"/>
        </w:rPr>
        <w:t xml:space="preserve">12. Counterparts and electronic signatures</w:t>
      </w:r>
    </w:p>
    <w:p>
      <w:pPr>
        <w:keepLines/>
        <w:spacing w:after="120" w:line="264"/>
        <w:jc w:val="both"/>
      </w:pPr>
      <w:r>
        <w:rPr>
          <w:rFonts w:ascii="Calibri" w:cs="Calibri" w:eastAsia="Calibri" w:hAnsi="Calibri"/>
          <w:sz w:val="22"/>
          <w:szCs w:val="22"/>
        </w:rPr>
        <w:t xml:space="preserve">The parties may sign this Agreement in counterparts, each of which is deemed an original and together form one instrument. Subject to Republic Act No. 8792 and applicable rules, a reliable electronic signature and an electronic copy may satisfy the parties' signature and writing requirements. The parties shall retain records sufficient to establish signer identity, intent, document integrity, and the time and manner of signing.</w:t>
      </w:r>
    </w:p>
    <w:p>
      <w:pPr>
        <w:keepNext/>
        <w:spacing w:after="260" w:before="360"/>
      </w:pPr>
      <w:r>
        <w:rPr>
          <w:rFonts w:ascii="Calibri" w:cs="Calibri" w:eastAsia="Calibri" w:hAnsi="Calibri"/>
          <w:b/>
          <w:bCs/>
          <w:sz w:val="22"/>
          <w:szCs w:val="22"/>
        </w:rPr>
        <w:t xml:space="preserve">IN WITNESS WHEREOF, the parties sign this document on the dates written below.</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Sampaguita Labs, Inc.</w:t>
            </w:r>
          </w:p>
          <w:p>
            <w:pPr>
              <w:spacing w:after="120"/>
            </w:pPr>
            <w:r>
              <w:rPr>
                <w:rFonts w:ascii="Calibri" w:cs="Calibri" w:eastAsia="Calibri" w:hAnsi="Calibri"/>
                <w:sz w:val="22"/>
                <w:szCs w:val="22"/>
              </w:rPr>
              <w:t xml:space="preserve">By: ______________________________</w:t>
            </w:r>
          </w:p>
          <w:p>
            <w:pPr>
              <w:spacing w:after="120"/>
            </w:pPr>
            <w:r>
              <w:rPr>
                <w:rFonts w:ascii="Calibri" w:cs="Calibri" w:eastAsia="Calibri" w:hAnsi="Calibri"/>
                <w:sz w:val="22"/>
                <w:szCs w:val="22"/>
              </w:rPr>
              <w:t xml:space="preserve">Name and title: Maria Santos, President</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Juan Dela Cruz</w:t>
            </w:r>
          </w:p>
          <w:p>
            <w:pPr>
              <w:spacing w:after="120"/>
            </w:pPr>
            <w:r>
              <w:rPr>
                <w:rFonts w:ascii="Calibri" w:cs="Calibri" w:eastAsia="Calibri" w:hAnsi="Calibri"/>
                <w:sz w:val="22"/>
                <w:szCs w:val="22"/>
              </w:rPr>
              <w:t xml:space="preserve">Signature: ______________________________</w:t>
            </w:r>
          </w:p>
          <w:p>
            <w:pPr>
              <w:spacing w:after="120"/>
            </w:pPr>
            <w:r>
              <w:rPr>
                <w:rFonts w:ascii="Calibri" w:cs="Calibri" w:eastAsia="Calibri" w:hAnsi="Calibri"/>
                <w:sz w:val="22"/>
                <w:szCs w:val="22"/>
              </w:rPr>
              <w:t xml:space="preserve">Printed name: Juan Dela Cruz</w:t>
            </w:r>
          </w:p>
          <w:p>
            <w:r>
              <w:rPr>
                <w:rFonts w:ascii="Calibri" w:cs="Calibri" w:eastAsia="Calibri" w:hAnsi="Calibri"/>
                <w:sz w:val="22"/>
                <w:szCs w:val="22"/>
              </w:rPr>
              <w:t xml:space="preserve">Date: ______________________________</w:t>
            </w:r>
          </w:p>
        </w:tc>
      </w:tr>
    </w:tbl>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Confirm each party's complete legal name, legal form, address, and signatory authority.</w:t>
      </w:r>
    </w:p>
    <w:p>
      <w:pPr>
        <w:pStyle w:val="ListParagraph"/>
        <w:keepNext/>
        <w:numPr>
          <w:ilvl w:val="0"/>
          <w:numId w:val="1"/>
        </w:numPr>
        <w:spacing w:after="120" w:line="264"/>
      </w:pPr>
      <w:r>
        <w:rPr>
          <w:rFonts w:ascii="Calibri" w:cs="Calibri" w:eastAsia="Calibri" w:hAnsi="Calibri"/>
          <w:sz w:val="22"/>
          <w:szCs w:val="22"/>
        </w:rPr>
        <w:t xml:space="preserve">Attach or separately document any project scope needed to make the permitted Purpose clear.</w:t>
      </w:r>
    </w:p>
    <w:p>
      <w:pPr>
        <w:pStyle w:val="ListParagraph"/>
        <w:keepNext/>
        <w:numPr>
          <w:ilvl w:val="0"/>
          <w:numId w:val="1"/>
        </w:numPr>
        <w:spacing w:after="120" w:line="264"/>
      </w:pPr>
      <w:r>
        <w:rPr>
          <w:rFonts w:ascii="Calibri" w:cs="Calibri" w:eastAsia="Calibri" w:hAnsi="Calibri"/>
          <w:sz w:val="22"/>
          <w:szCs w:val="22"/>
        </w:rPr>
        <w:t xml:space="preserve">Do not exchange personal data until the parties confirm their privacy roles, lawful basis, notices, security, and whether a separate data sharing or data processing agreement is needed.</w:t>
      </w:r>
    </w:p>
    <w:p>
      <w:pPr>
        <w:pStyle w:val="ListParagraph"/>
        <w:keepNext/>
        <w:numPr>
          <w:ilvl w:val="0"/>
          <w:numId w:val="1"/>
        </w:numPr>
        <w:spacing w:after="120" w:line="264"/>
      </w:pPr>
      <w:r>
        <w:rPr>
          <w:rFonts w:ascii="Calibri" w:cs="Calibri" w:eastAsia="Calibri" w:hAnsi="Calibri"/>
          <w:sz w:val="22"/>
          <w:szCs w:val="22"/>
        </w:rPr>
        <w:t xml:space="preserve">If a party learns of a leak, it must tell the other party promptly under the agreement. Agree in advance who to contact and how.</w:t>
      </w:r>
    </w:p>
    <w:p>
      <w:pPr>
        <w:pStyle w:val="ListParagraph"/>
        <w:keepNext/>
        <w:numPr>
          <w:ilvl w:val="0"/>
          <w:numId w:val="1"/>
        </w:numPr>
        <w:spacing w:after="120" w:line="264"/>
      </w:pPr>
      <w:r>
        <w:rPr>
          <w:rFonts w:ascii="Calibri" w:cs="Calibri" w:eastAsia="Calibri" w:hAnsi="Calibri"/>
          <w:sz w:val="22"/>
          <w:szCs w:val="22"/>
        </w:rPr>
        <w:t xml:space="preserve">Keep one complete signed copy and evidence showing who signed, when, and which version was signed.</w:t>
      </w:r>
    </w:p>
    <w:p>
      <w:pPr>
        <w:pStyle w:val="ListParagraph"/>
        <w:keepNext w:val="false"/>
        <w:numPr>
          <w:ilvl w:val="0"/>
          <w:numId w:val="1"/>
        </w:numPr>
        <w:spacing w:after="120" w:line="264"/>
      </w:pPr>
      <w:r>
        <w:rPr>
          <w:rFonts w:ascii="Calibri" w:cs="Calibri" w:eastAsia="Calibri" w:hAnsi="Calibri"/>
          <w:sz w:val="22"/>
          <w:szCs w:val="22"/>
        </w:rPr>
        <w:t xml:space="preserve">Seek Philippine counsel for trade secrets, cross-border transfers, regulated data, employment restrictions, government information, or unusually valuable disclosures.</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2026-08-29 onward, subject to the recorded review cycle | Independent Philippine lawyer review pending | Last legal check 2026-10-01 | Next review due 2026-11-29</w:t>
      </w:r>
    </w:p>
    <w:p>
      <w:pPr>
        <w:keepNext/>
        <w:spacing w:after="60" w:before="100"/>
      </w:pPr>
      <w:r>
        <w:rPr>
          <w:rFonts w:ascii="Calibri" w:cs="Calibri" w:eastAsia="Calibri" w:hAnsi="Calibri"/>
          <w:b/>
          <w:bCs/>
          <w:sz w:val="18"/>
          <w:szCs w:val="18"/>
        </w:rPr>
        <w:t xml:space="preserve">Civil Code of the Philippines (Republic Act No. 386) - Arts. 1159, 1170, 1305–1317, 1356, and 1403 (checked 2026-10-01)</w:t>
      </w:r>
    </w:p>
    <w:p>
      <w:pPr>
        <w:spacing w:after="120"/>
      </w:pPr>
      <w:hyperlink w:history="1" r:id="rIdzsfcux8hoxuebqwc-kdq4">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Electronic Commerce Act of 2000 (Republic Act No. 8792) - Secs. 6–8 (checked 2026-10-01)</w:t>
      </w:r>
    </w:p>
    <w:p>
      <w:pPr>
        <w:spacing w:after="120"/>
      </w:pPr>
      <w:hyperlink w:history="1" r:id="rIdekzswac7mk8oqaucnfol_">
        <w:r>
          <w:rPr>
            <w:rFonts w:ascii="Calibri" w:cs="Calibri" w:eastAsia="Calibri" w:hAnsi="Calibri"/>
            <w:color w:val="315B75"/>
            <w:sz w:val="17"/>
            <w:szCs w:val="17"/>
            <w:u w:val="single"/>
          </w:rPr>
          <w:t xml:space="preserve">https://lawphil.net/statutes/repacts/ra2000/ra_8792_2000.html</w:t>
        </w:r>
      </w:hyperlink>
    </w:p>
    <w:p>
      <w:pPr>
        <w:keepNext/>
        <w:spacing w:after="60" w:before="100"/>
      </w:pPr>
      <w:r>
        <w:rPr>
          <w:rFonts w:ascii="Calibri" w:cs="Calibri" w:eastAsia="Calibri" w:hAnsi="Calibri"/>
          <w:b/>
          <w:bCs/>
          <w:sz w:val="18"/>
          <w:szCs w:val="18"/>
        </w:rPr>
        <w:t xml:space="preserve">Data Privacy Act of 2012 (Republic Act No. 10173) - Secs. 11–21 when personal data is processed, including Secs. 20–21 on security and accountability for personal data shared with others (checked 2026-10-01)</w:t>
      </w:r>
    </w:p>
    <w:p>
      <w:pPr>
        <w:spacing w:after="120"/>
      </w:pPr>
      <w:hyperlink w:history="1" r:id="rId0aw68_1mjzzrtcgwbl1oy">
        <w:r>
          <w:rPr>
            <w:rFonts w:ascii="Calibri" w:cs="Calibri" w:eastAsia="Calibri" w:hAnsi="Calibri"/>
            <w:color w:val="315B75"/>
            <w:sz w:val="17"/>
            <w:szCs w:val="17"/>
            <w:u w:val="single"/>
          </w:rPr>
          <w:t xml:space="preserve">https://lawphil.net/statutes/repacts/ra2012/ra_10173_2012.html</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sfcux8hoxuebqwc-kdq4" Type="http://schemas.openxmlformats.org/officeDocument/2006/relationships/hyperlink" Target="https://lawphil.net/statutes/repacts/ra1949/ra_386_1949.html" TargetMode="External"/><Relationship Id="rIdekzswac7mk8oqaucnfol_" Type="http://schemas.openxmlformats.org/officeDocument/2006/relationships/hyperlink" Target="https://lawphil.net/statutes/repacts/ra2000/ra_8792_2000.html" TargetMode="External"/><Relationship Id="rId0aw68_1mjzzrtcgwbl1oy" Type="http://schemas.openxmlformats.org/officeDocument/2006/relationships/hyperlink" Target="https://lawphil.net/statutes/repacts/ra2012/ra_10173_2012.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Confidentiality and Non-Disclosure Agreement</dc:title>
  <dc:creator>LAW.PH</dc:creator>
  <dc:description>Free sample of the Confidentiality and Non-Disclosure Agreement from LAW.PH, with fictional details</dc:description>
  <cp:lastModifiedBy>Un-named</cp:lastModifiedBy>
  <cp:revision>1</cp:revision>
  <dcterms:created xsi:type="dcterms:W3CDTF">2026-10-02T05:29:56.894Z</dcterms:created>
  <dcterms:modified xsi:type="dcterms:W3CDTF">2026-10-02T05:29:56.894Z</dcterms:modified>
</cp:coreProperties>
</file>

<file path=docProps/custom.xml><?xml version="1.0" encoding="utf-8"?>
<Properties xmlns="http://schemas.openxmlformats.org/officeDocument/2006/custom-properties" xmlns:vt="http://schemas.openxmlformats.org/officeDocument/2006/docPropsVTypes"/>
</file>