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80"/>
        <w:jc w:val="center"/>
      </w:pPr>
      <w:r>
        <w:rPr>
          <w:rFonts w:ascii="Calibri" w:cs="Calibri" w:eastAsia="Calibri" w:hAnsi="Calibri"/>
          <w:b/>
          <w:bCs/>
          <w:color w:val="B48735"/>
          <w:spacing w:val="100"/>
          <w:sz w:val="18"/>
          <w:szCs w:val="18"/>
        </w:rPr>
        <w:t xml:space="preserve">LAW.PH</w:t>
      </w:r>
    </w:p>
    <w:p>
      <w:pPr>
        <w:pStyle w:val="Title"/>
        <w:spacing w:after="100"/>
        <w:jc w:val="center"/>
      </w:pPr>
      <w:r>
        <w:rPr>
          <w:rFonts w:ascii="Calibri" w:cs="Calibri" w:eastAsia="Calibri" w:hAnsi="Calibri"/>
          <w:b/>
          <w:bCs/>
          <w:color w:val="102B3F"/>
          <w:sz w:val="30"/>
          <w:szCs w:val="30"/>
        </w:rPr>
        <w:t xml:space="preserve">FIRST AMENDMENT TO DIGITAL MARKETING SERVICES AGREEMENT</w:t>
      </w:r>
    </w:p>
    <w:p>
      <w:pPr>
        <w:spacing w:after="160"/>
        <w:jc w:val="center"/>
      </w:pPr>
      <w:r>
        <w:rPr>
          <w:rFonts w:ascii="Calibri" w:cs="Calibri" w:eastAsia="Calibri" w:hAnsi="Calibri"/>
          <w:color w:val="566674"/>
          <w:sz w:val="18"/>
          <w:szCs w:val="18"/>
        </w:rPr>
        <w:t xml:space="preserve">Republic of the Philippines · limited amendment · Template v0.2.0</w:t>
      </w:r>
    </w:p>
    <w:p>
      <w:pPr>
        <w:shd w:fill="FFF8E8" w:val="clear"/>
        <w:spacing w:after="260" w:before="80"/>
        <w:jc w:val="center"/>
      </w:pPr>
      <w:r>
        <w:rPr>
          <w:rFonts w:ascii="Calibri" w:cs="Calibri" w:eastAsia="Calibri" w:hAnsi="Calibri"/>
          <w:b/>
          <w:bCs/>
          <w:color w:val="8A5A12"/>
          <w:sz w:val="16"/>
          <w:szCs w:val="16"/>
        </w:rPr>
        <w:t xml:space="preserve">FREE SAMPLE · Fictional names, dates, and amounts: replace every one before use · Engineering draft · independent Philippine contract-lawyer review pending</w:t>
      </w:r>
    </w:p>
    <w:p>
      <w:pPr>
        <w:pStyle w:val="Heading2"/>
        <w:keepNext/>
        <w:spacing w:after="120" w:before="240"/>
      </w:pPr>
      <w:r>
        <w:rPr>
          <w:rFonts w:ascii="Calibri" w:cs="Calibri" w:eastAsia="Calibri" w:hAnsi="Calibri"/>
          <w:b/>
          <w:bCs/>
          <w:color w:val="102B3F"/>
          <w:sz w:val="26"/>
          <w:szCs w:val="26"/>
        </w:rPr>
        <w:t xml:space="preserve">PARTIES AND ORIGINAL AGREEMENT</w:t>
      </w:r>
    </w:p>
    <w:p>
      <w:pPr>
        <w:keepLines/>
        <w:spacing w:after="120" w:line="264"/>
        <w:jc w:val="both"/>
      </w:pPr>
      <w:r>
        <w:rPr>
          <w:rFonts w:ascii="Calibri" w:cs="Calibri" w:eastAsia="Calibri" w:hAnsi="Calibri"/>
          <w:sz w:val="22"/>
          <w:szCs w:val="22"/>
        </w:rPr>
        <w:t xml:space="preserve">This Amendment No. 1 (the “Amendment”) is signed on August 31, 2026 by Sampaguita Retail, Inc., a corporation, with address at 120 Ayala Avenue, Makati City, Metro Manila, Philippines, represented by Maria L. Santos, President, who is duly authorized (“Party A”), and Jose R. Cruz, of legal age, doing business under the name and style “Likha Digital Studio”, with address at 44 Maginhawa Street, Quezon City, Metro Manila, Philippines (“Party B”).</w:t>
      </w:r>
    </w:p>
    <w:p>
      <w:pPr>
        <w:keepLines/>
        <w:spacing w:after="120" w:line="264"/>
        <w:jc w:val="both"/>
      </w:pPr>
      <w:r>
        <w:rPr>
          <w:rFonts w:ascii="Calibri" w:cs="Calibri" w:eastAsia="Calibri" w:hAnsi="Calibri"/>
          <w:sz w:val="22"/>
          <w:szCs w:val="22"/>
        </w:rPr>
        <w:t xml:space="preserve">The Parties entered into the Digital Marketing Services Agreement dated January 15, 2026 concerning Project Sampaguita / Campaign 2026 (the “Original Agreement”). The disclosed earlier changes are: None</w:t>
      </w:r>
    </w:p>
    <w:p>
      <w:pPr>
        <w:pStyle w:val="Heading2"/>
        <w:keepNext/>
        <w:spacing w:after="120" w:before="240"/>
      </w:pPr>
      <w:r>
        <w:rPr>
          <w:rFonts w:ascii="Calibri" w:cs="Calibri" w:eastAsia="Calibri" w:hAnsi="Calibri"/>
          <w:b/>
          <w:bCs/>
          <w:color w:val="102B3F"/>
          <w:sz w:val="26"/>
          <w:szCs w:val="26"/>
        </w:rPr>
        <w:t xml:space="preserve">RECITALS</w:t>
      </w:r>
    </w:p>
    <w:p>
      <w:pPr>
        <w:keepLines/>
        <w:spacing w:after="120" w:line="264"/>
        <w:jc w:val="both"/>
      </w:pPr>
      <w:r>
        <w:rPr>
          <w:rFonts w:ascii="Calibri" w:cs="Calibri" w:eastAsia="Calibri" w:hAnsi="Calibri"/>
          <w:sz w:val="22"/>
          <w:szCs w:val="22"/>
        </w:rPr>
        <w:t xml:space="preserve">The Parties reviewed the complete Original Agreement, including its change procedure: Section 18 requires every amendment to be in a written instrument signed by authorized representatives of both Parties.</w:t>
      </w:r>
    </w:p>
    <w:p>
      <w:pPr>
        <w:keepLines/>
        <w:spacing w:after="120" w:line="264"/>
        <w:jc w:val="both"/>
      </w:pPr>
      <w:r>
        <w:rPr>
          <w:rFonts w:ascii="Calibri" w:cs="Calibri" w:eastAsia="Calibri" w:hAnsi="Calibri"/>
          <w:sz w:val="22"/>
          <w:szCs w:val="22"/>
        </w:rPr>
        <w:t xml:space="preserve">The Parties wish to make only the changes stated below for this lawful basis: The parties' reciprocal promises to expand and complete the deliverables, adjust the fee and timetable, and continue performing the Original Agreement as amended. They intend the operative provisions—not the title or recital alone—to control.</w:t>
      </w:r>
    </w:p>
    <w:p>
      <w:pPr>
        <w:pStyle w:val="Heading2"/>
        <w:keepNext/>
        <w:spacing w:after="120" w:before="240"/>
      </w:pPr>
      <w:r>
        <w:rPr>
          <w:rFonts w:ascii="Calibri" w:cs="Calibri" w:eastAsia="Calibri" w:hAnsi="Calibri"/>
          <w:b/>
          <w:bCs/>
          <w:color w:val="102B3F"/>
          <w:sz w:val="26"/>
          <w:szCs w:val="26"/>
        </w:rPr>
        <w:t xml:space="preserve">1. DEFINITIONS, INCORPORATION, AND AUTHORITY</w:t>
      </w:r>
    </w:p>
    <w:p>
      <w:pPr>
        <w:keepLines/>
        <w:spacing w:after="120" w:line="264"/>
        <w:jc w:val="both"/>
      </w:pPr>
      <w:r>
        <w:rPr>
          <w:rFonts w:ascii="Calibri" w:cs="Calibri" w:eastAsia="Calibri" w:hAnsi="Calibri"/>
          <w:sz w:val="22"/>
          <w:szCs w:val="22"/>
        </w:rPr>
        <w:t xml:space="preserve">Capitalized terms not defined here have the meanings in the Original Agreement. The Original Agreement is incorporated only to the extent consistent with this Amendment.</w:t>
      </w:r>
    </w:p>
    <w:p>
      <w:pPr>
        <w:keepLines/>
        <w:spacing w:after="120" w:line="264"/>
        <w:jc w:val="both"/>
      </w:pPr>
      <w:r>
        <w:rPr>
          <w:rFonts w:ascii="Calibri" w:cs="Calibri" w:eastAsia="Calibri" w:hAnsi="Calibri"/>
          <w:sz w:val="22"/>
          <w:szCs w:val="22"/>
        </w:rPr>
        <w:t xml:space="preserve">Each signer represents that the named legal party exists or has capacity, that the signer has verified authority, and that every approval or consent required by the Original Agreement and applicable law is obtained or is an express condition to effectiveness.</w:t>
      </w:r>
    </w:p>
    <w:p>
      <w:pPr>
        <w:keepLines/>
        <w:spacing w:after="120" w:line="264"/>
        <w:jc w:val="both"/>
      </w:pPr>
      <w:r>
        <w:rPr>
          <w:rFonts w:ascii="Calibri" w:cs="Calibri" w:eastAsia="Calibri" w:hAnsi="Calibri"/>
          <w:sz w:val="22"/>
          <w:szCs w:val="22"/>
        </w:rPr>
        <w:t xml:space="preserve">No party is added, removed, released, or substituted by this Amendment.</w:t>
      </w:r>
    </w:p>
    <w:p>
      <w:pPr>
        <w:pStyle w:val="Heading2"/>
        <w:keepNext/>
        <w:spacing w:after="120" w:before="240"/>
      </w:pPr>
      <w:r>
        <w:rPr>
          <w:rFonts w:ascii="Calibri" w:cs="Calibri" w:eastAsia="Calibri" w:hAnsi="Calibri"/>
          <w:b/>
          <w:bCs/>
          <w:color w:val="102B3F"/>
          <w:sz w:val="26"/>
          <w:szCs w:val="26"/>
        </w:rPr>
        <w:t xml:space="preserve">2. EXPRESS AMENDMENTS</w:t>
      </w:r>
    </w:p>
    <w:p>
      <w:pPr>
        <w:keepLines/>
        <w:spacing w:after="120" w:line="264"/>
        <w:jc w:val="both"/>
      </w:pPr>
      <w:r>
        <w:rPr>
          <w:rFonts w:ascii="Calibri" w:cs="Calibri" w:eastAsia="Calibri" w:hAnsi="Calibri"/>
          <w:sz w:val="22"/>
          <w:szCs w:val="22"/>
        </w:rPr>
        <w:t xml:space="preserve">1. Section 3.2 — Campaign Deliverables is deleted and replaced in its entirety with the following: “The Provider shall deliver twelve short-form campaign videos, four long-form product videos, monthly performance reports, and the editable source files listed in Replacement Schedule A by 30 November 2026.” Context only (not operative wording): The campaign now includes two additional product launches.</w:t>
      </w:r>
    </w:p>
    <w:p>
      <w:pPr>
        <w:keepLines/>
        <w:spacing w:after="120" w:line="264"/>
        <w:jc w:val="both"/>
      </w:pPr>
      <w:r>
        <w:rPr>
          <w:rFonts w:ascii="Calibri" w:cs="Calibri" w:eastAsia="Calibri" w:hAnsi="Calibri"/>
          <w:sz w:val="22"/>
          <w:szCs w:val="22"/>
        </w:rPr>
        <w:t xml:space="preserve">2. Section 5.1 — Professional Fee is deleted and replaced in its entirety with the following: “The total professional fee is increased to PHP 780,000.00, exclusive of applicable VAT, payable according to the milestone allocation in Replacement Schedule A after receipt of a valid invoice and any required withholding documentation.” Context only (not operative wording): The expanded deliverables require additional production work.</w:t>
      </w:r>
    </w:p>
    <w:p>
      <w:pPr>
        <w:keepLines/>
        <w:spacing w:after="120" w:line="264"/>
        <w:jc w:val="both"/>
      </w:pPr>
      <w:r>
        <w:rPr>
          <w:rFonts w:ascii="Calibri" w:cs="Calibri" w:eastAsia="Calibri" w:hAnsi="Calibri"/>
          <w:sz w:val="22"/>
          <w:szCs w:val="22"/>
        </w:rPr>
        <w:t xml:space="preserve">3. Section 2.1 — Term is deleted and replaced in its entirety with the following: “The term is extended through 15 December 2026 solely to complete, review, correct, and accept the amended deliverables, without changing any surviving obligation.” Context only (not operative wording): The new launch dates extend the delivery timetable.</w:t>
      </w:r>
    </w:p>
    <w:p>
      <w:pPr>
        <w:pStyle w:val="Heading2"/>
        <w:keepNext/>
        <w:spacing w:after="120" w:before="240"/>
      </w:pPr>
      <w:r>
        <w:rPr>
          <w:rFonts w:ascii="Calibri" w:cs="Calibri" w:eastAsia="Calibri" w:hAnsi="Calibri"/>
          <w:b/>
          <w:bCs/>
          <w:color w:val="102B3F"/>
          <w:sz w:val="26"/>
          <w:szCs w:val="26"/>
        </w:rPr>
        <w:t xml:space="preserve">3. SCHEDULES AND ATTACHMENTS</w:t>
      </w:r>
    </w:p>
    <w:p>
      <w:pPr>
        <w:keepLines/>
        <w:spacing w:after="120" w:line="264"/>
        <w:jc w:val="both"/>
      </w:pPr>
      <w:r>
        <w:rPr>
          <w:rFonts w:ascii="Calibri" w:cs="Calibri" w:eastAsia="Calibri" w:hAnsi="Calibri"/>
          <w:sz w:val="22"/>
          <w:szCs w:val="22"/>
        </w:rPr>
        <w:t xml:space="preserve">The following complete, dated attachment is incorporated: Replacement Schedule A — Deliverables, Milestones, and Payment Allocation, version dated 31 August 2026, attached to this Amendment, replaces Schedule A dated 15 January 2026 in full. An attached replacement schedule supersedes only the identified earlier schedule; unrelated schedules continue.</w:t>
      </w:r>
    </w:p>
    <w:p>
      <w:pPr>
        <w:pStyle w:val="Heading2"/>
        <w:keepNext/>
        <w:spacing w:after="120" w:before="240"/>
      </w:pPr>
      <w:r>
        <w:rPr>
          <w:rFonts w:ascii="Calibri" w:cs="Calibri" w:eastAsia="Calibri" w:hAnsi="Calibri"/>
          <w:b/>
          <w:bCs/>
          <w:color w:val="102B3F"/>
          <w:sz w:val="26"/>
          <w:szCs w:val="26"/>
        </w:rPr>
        <w:t xml:space="preserve">4. EFFECTIVE TIME AND PRIOR PERFORMANCE</w:t>
      </w:r>
    </w:p>
    <w:p>
      <w:pPr>
        <w:keepLines/>
        <w:spacing w:after="120" w:line="264"/>
        <w:jc w:val="both"/>
      </w:pPr>
      <w:r>
        <w:rPr>
          <w:rFonts w:ascii="Calibri" w:cs="Calibri" w:eastAsia="Calibri" w:hAnsi="Calibri"/>
          <w:sz w:val="22"/>
          <w:szCs w:val="22"/>
        </w:rPr>
        <w:t xml:space="preserve">This Amendment takes effect on September 1, 2026, provided every required signature, consent, and approval has then been obtained.</w:t>
      </w:r>
    </w:p>
    <w:p>
      <w:pPr>
        <w:keepLines/>
        <w:spacing w:after="120" w:line="264"/>
        <w:jc w:val="both"/>
      </w:pPr>
      <w:r>
        <w:rPr>
          <w:rFonts w:ascii="Calibri" w:cs="Calibri" w:eastAsia="Calibri" w:hAnsi="Calibri"/>
          <w:sz w:val="22"/>
          <w:szCs w:val="22"/>
        </w:rPr>
        <w:t xml:space="preserve">Deliverables accepted and fees accrued before 1 September 2026 remain governed by the Original Agreement and the original Schedule A.</w:t>
      </w:r>
    </w:p>
    <w:p>
      <w:pPr>
        <w:pStyle w:val="Heading2"/>
        <w:keepNext/>
        <w:spacing w:after="120" w:before="240"/>
      </w:pPr>
      <w:r>
        <w:rPr>
          <w:rFonts w:ascii="Calibri" w:cs="Calibri" w:eastAsia="Calibri" w:hAnsi="Calibri"/>
          <w:b/>
          <w:bCs/>
          <w:color w:val="102B3F"/>
          <w:sz w:val="26"/>
          <w:szCs w:val="26"/>
        </w:rPr>
        <w:t xml:space="preserve">5. LEGAL EFFECT; NO IMPLIED CHANGE</w:t>
      </w:r>
    </w:p>
    <w:p>
      <w:pPr>
        <w:keepLines/>
        <w:spacing w:after="120" w:line="264"/>
        <w:jc w:val="both"/>
      </w:pPr>
      <w:r>
        <w:rPr>
          <w:rFonts w:ascii="Calibri" w:cs="Calibri" w:eastAsia="Calibri" w:hAnsi="Calibri"/>
          <w:sz w:val="22"/>
          <w:szCs w:val="22"/>
        </w:rPr>
        <w:t xml:space="preserve">This instrument is a limited modification, not an extinguishment or novation of the Original Agreement. Except for the express changes in this Amendment, the Original Agreement continues in full force. No change is inferred from negotiations, conduct, silence, partial performance, invoice handling, or a course of dealing.</w:t>
      </w:r>
    </w:p>
    <w:p>
      <w:pPr>
        <w:keepLines/>
        <w:spacing w:after="120" w:line="264"/>
        <w:jc w:val="both"/>
      </w:pPr>
      <w:r>
        <w:rPr>
          <w:rFonts w:ascii="Calibri" w:cs="Calibri" w:eastAsia="Calibri" w:hAnsi="Calibri"/>
          <w:sz w:val="22"/>
          <w:szCs w:val="22"/>
        </w:rPr>
        <w:t xml:space="preserve">If this Amendment conflicts with the Original Agreement, this Amendment controls only to the extent of that express conflict. An apparent conflict must first be read to preserve compatible provisions. No summary, heading, draft, negotiation, or reason statement changes the operative wording.</w:t>
      </w:r>
    </w:p>
    <w:p>
      <w:pPr>
        <w:pStyle w:val="Heading2"/>
        <w:keepNext/>
        <w:spacing w:after="120" w:before="240"/>
      </w:pPr>
      <w:r>
        <w:rPr>
          <w:rFonts w:ascii="Calibri" w:cs="Calibri" w:eastAsia="Calibri" w:hAnsi="Calibri"/>
          <w:b/>
          <w:bCs/>
          <w:color w:val="102B3F"/>
          <w:sz w:val="26"/>
          <w:szCs w:val="26"/>
        </w:rPr>
        <w:t xml:space="preserve">6. ACCRUED RIGHTS, DEFAULTS, AND LIMITED WAIVER</w:t>
      </w:r>
    </w:p>
    <w:p>
      <w:pPr>
        <w:keepLines/>
        <w:spacing w:after="120" w:line="264"/>
        <w:jc w:val="both"/>
      </w:pPr>
      <w:r>
        <w:rPr>
          <w:rFonts w:ascii="Calibri" w:cs="Calibri" w:eastAsia="Calibri" w:hAnsi="Calibri"/>
          <w:sz w:val="22"/>
          <w:szCs w:val="22"/>
        </w:rPr>
        <w:t xml:space="preserve">All rights, claims, remedies, amounts, obligations, defaults, notices, and liabilities accrued before effectiveness are preserved unless this Amendment expressly states otherwise. No delay or signature constitutes a waiver.</w:t>
      </w:r>
    </w:p>
    <w:p>
      <w:pPr>
        <w:keepLines/>
        <w:spacing w:after="120" w:line="264"/>
        <w:jc w:val="both"/>
      </w:pPr>
      <w:r>
        <w:rPr>
          <w:rFonts w:ascii="Calibri" w:cs="Calibri" w:eastAsia="Calibri" w:hAnsi="Calibri"/>
          <w:sz w:val="22"/>
          <w:szCs w:val="22"/>
        </w:rPr>
        <w:t xml:space="preserve">Each Party states that it is not presently giving notice of a known uncured default through this Amendment; this statement is not a waiver of a later-discovered breach.</w:t>
      </w:r>
    </w:p>
    <w:p>
      <w:pPr>
        <w:pStyle w:val="Heading2"/>
        <w:keepNext/>
        <w:spacing w:after="120" w:before="240"/>
      </w:pPr>
      <w:r>
        <w:rPr>
          <w:rFonts w:ascii="Calibri" w:cs="Calibri" w:eastAsia="Calibri" w:hAnsi="Calibri"/>
          <w:b/>
          <w:bCs/>
          <w:color w:val="102B3F"/>
          <w:sz w:val="26"/>
          <w:szCs w:val="26"/>
        </w:rPr>
        <w:t xml:space="preserve">7. GUARANTY, SECURITY, AND THIRD-PARTY RIGHTS</w:t>
      </w:r>
    </w:p>
    <w:p>
      <w:pPr>
        <w:keepLines/>
        <w:spacing w:after="120" w:line="264"/>
        <w:jc w:val="both"/>
      </w:pPr>
      <w:r>
        <w:rPr>
          <w:rFonts w:ascii="Calibri" w:cs="Calibri" w:eastAsia="Calibri" w:hAnsi="Calibri"/>
          <w:sz w:val="22"/>
          <w:szCs w:val="22"/>
        </w:rPr>
        <w:t xml:space="preserve">The Parties have identified no guaranty, suretyship, mortgage, pledge, or other security that this Amendment purports to continue or change.</w:t>
      </w:r>
    </w:p>
    <w:p>
      <w:pPr>
        <w:keepLines/>
        <w:spacing w:after="120" w:line="264"/>
        <w:jc w:val="both"/>
      </w:pPr>
      <w:r>
        <w:rPr>
          <w:rFonts w:ascii="Calibri" w:cs="Calibri" w:eastAsia="Calibri" w:hAnsi="Calibri"/>
          <w:sz w:val="22"/>
          <w:szCs w:val="22"/>
        </w:rPr>
        <w:t xml:space="preserve">The Parties identified no separate third-party approval beyond the consents and authority represented above.</w:t>
      </w:r>
    </w:p>
    <w:p>
      <w:pPr>
        <w:pStyle w:val="Heading2"/>
        <w:keepNext/>
        <w:spacing w:after="120" w:before="240"/>
      </w:pPr>
      <w:r>
        <w:rPr>
          <w:rFonts w:ascii="Calibri" w:cs="Calibri" w:eastAsia="Calibri" w:hAnsi="Calibri"/>
          <w:b/>
          <w:bCs/>
          <w:color w:val="102B3F"/>
          <w:sz w:val="26"/>
          <w:szCs w:val="26"/>
        </w:rPr>
        <w:t xml:space="preserve">8. RATIFICATION AND CONTINUING EFFECT</w:t>
      </w:r>
    </w:p>
    <w:p>
      <w:pPr>
        <w:keepLines/>
        <w:spacing w:after="120" w:line="264"/>
        <w:jc w:val="both"/>
      </w:pPr>
      <w:r>
        <w:rPr>
          <w:rFonts w:ascii="Calibri" w:cs="Calibri" w:eastAsia="Calibri" w:hAnsi="Calibri"/>
          <w:sz w:val="22"/>
          <w:szCs w:val="22"/>
        </w:rPr>
        <w:t xml:space="preserve">Except as expressly amended, the Parties ratify the Original Agreement. Its valid representations, duties, restrictions, remedies, notices, survival provisions, and other terms continue. Ratification does not validate an unlawful term, waive a mandatory right, or cure missing consent or form.</w:t>
      </w:r>
    </w:p>
    <w:p>
      <w:pPr>
        <w:pStyle w:val="Heading2"/>
        <w:keepNext/>
        <w:spacing w:after="120" w:before="240"/>
      </w:pPr>
      <w:r>
        <w:rPr>
          <w:rFonts w:ascii="Calibri" w:cs="Calibri" w:eastAsia="Calibri" w:hAnsi="Calibri"/>
          <w:b/>
          <w:bCs/>
          <w:color w:val="102B3F"/>
          <w:sz w:val="26"/>
          <w:szCs w:val="26"/>
        </w:rPr>
        <w:t xml:space="preserve">9. GOVERNING TERMS AND DISPUTES</w:t>
      </w:r>
    </w:p>
    <w:p>
      <w:pPr>
        <w:keepLines/>
        <w:spacing w:after="120" w:line="264"/>
        <w:jc w:val="both"/>
      </w:pPr>
      <w:r>
        <w:rPr>
          <w:rFonts w:ascii="Calibri" w:cs="Calibri" w:eastAsia="Calibri" w:hAnsi="Calibri"/>
          <w:sz w:val="22"/>
          <w:szCs w:val="22"/>
        </w:rPr>
        <w:t xml:space="preserve">The Original Agreement's governing-law, dispute-resolution, jurisdiction, and venue provisions remain unchanged.</w:t>
      </w:r>
    </w:p>
    <w:p>
      <w:pPr>
        <w:pStyle w:val="Heading2"/>
        <w:keepNext/>
        <w:spacing w:after="120" w:before="240"/>
      </w:pPr>
      <w:r>
        <w:rPr>
          <w:rFonts w:ascii="Calibri" w:cs="Calibri" w:eastAsia="Calibri" w:hAnsi="Calibri"/>
          <w:b/>
          <w:bCs/>
          <w:color w:val="102B3F"/>
          <w:sz w:val="26"/>
          <w:szCs w:val="26"/>
        </w:rPr>
        <w:t xml:space="preserve">10. COUNTERPARTS, SIGNATURES, AND COMPLETE RECORD</w:t>
      </w:r>
    </w:p>
    <w:p>
      <w:pPr>
        <w:keepLines/>
        <w:spacing w:after="120" w:line="264"/>
        <w:jc w:val="both"/>
      </w:pPr>
      <w:r>
        <w:rPr>
          <w:rFonts w:ascii="Calibri" w:cs="Calibri" w:eastAsia="Calibri" w:hAnsi="Calibri"/>
          <w:sz w:val="22"/>
          <w:szCs w:val="22"/>
        </w:rPr>
        <w:t xml:space="preserve">The Parties shall sign 2 wet-ink originals or complete counterparts. Counterparts together form one instrument.</w:t>
      </w:r>
    </w:p>
    <w:p>
      <w:pPr>
        <w:keepLines/>
        <w:spacing w:after="120" w:line="264"/>
        <w:jc w:val="both"/>
      </w:pPr>
      <w:r>
        <w:rPr>
          <w:rFonts w:ascii="Calibri" w:cs="Calibri" w:eastAsia="Calibri" w:hAnsi="Calibri"/>
          <w:sz w:val="22"/>
          <w:szCs w:val="22"/>
        </w:rPr>
        <w:t xml:space="preserve">This Amendment, its identified attachments, the Original Agreement, and disclosed prior amendments form the controlled contractual record. Any later change must satisfy the Original Agreement as amended and applicable law. Each Party shall receive a complete signed copy.</w:t>
      </w:r>
    </w:p>
    <w:p>
      <w:pPr>
        <w:keepNext/>
        <w:spacing w:after="260" w:before="360"/>
      </w:pPr>
      <w:r>
        <w:rPr>
          <w:rFonts w:ascii="Calibri" w:cs="Calibri" w:eastAsia="Calibri" w:hAnsi="Calibri"/>
          <w:b/>
          <w:bCs/>
          <w:sz w:val="22"/>
          <w:szCs w:val="22"/>
        </w:rPr>
        <w:t xml:space="preserve">IN WITNESS WHEREOF, the Parties sign this complete Amendment through their authorized signatories on the dates stated below.</w:t>
      </w:r>
    </w:p>
    <w:tbl>
      <w:tblPr>
        <w:tblW w:type="dxa" w:w="936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680"/>
        <w:gridCol w:w="4680"/>
      </w:tblGrid>
      <w:tr>
        <w:trPr>
          <w:cantSplit/>
        </w:trPr>
        <w:tc>
          <w:tcPr>
            <w:tcW w:type="dxa" w:w="4680"/>
            <w:tcMar>
              <w:top w:type="dxa" w:w="100"/>
              <w:left w:type="dxa" w:w="0"/>
              <w:bottom w:type="dxa" w:w="160"/>
              <w:right w:type="dxa" w:w="240"/>
            </w:tcMar>
          </w:tcPr>
          <w:p>
            <w:pPr>
              <w:spacing w:after="500"/>
            </w:pPr>
            <w:r>
              <w:rPr>
                <w:rFonts w:ascii="Calibri" w:cs="Calibri" w:eastAsia="Calibri" w:hAnsi="Calibri"/>
                <w:b/>
                <w:bCs/>
                <w:sz w:val="22"/>
                <w:szCs w:val="22"/>
              </w:rPr>
              <w:t xml:space="preserve">PARTY A</w:t>
            </w:r>
          </w:p>
          <w:p>
            <w:pPr>
              <w:spacing w:after="120"/>
            </w:pPr>
            <w:r>
              <w:rPr>
                <w:rFonts w:ascii="Calibri" w:cs="Calibri" w:eastAsia="Calibri" w:hAnsi="Calibri"/>
                <w:sz w:val="22"/>
                <w:szCs w:val="22"/>
              </w:rPr>
              <w:t xml:space="preserve">Sampaguita Retail, Inc.</w:t>
            </w:r>
          </w:p>
          <w:p>
            <w:pPr>
              <w:spacing w:after="120"/>
            </w:pPr>
            <w:r>
              <w:rPr>
                <w:rFonts w:ascii="Calibri" w:cs="Calibri" w:eastAsia="Calibri" w:hAnsi="Calibri"/>
                <w:sz w:val="22"/>
                <w:szCs w:val="22"/>
              </w:rPr>
              <w:t xml:space="preserve">corporation · By: Maria L. Santos, President</w:t>
            </w:r>
          </w:p>
          <w:p>
            <w:r>
              <w:rPr>
                <w:rFonts w:ascii="Calibri" w:cs="Calibri" w:eastAsia="Calibri" w:hAnsi="Calibri"/>
                <w:sz w:val="22"/>
                <w:szCs w:val="22"/>
              </w:rPr>
              <w:t xml:space="preserve">Date: ______________________________</w:t>
            </w:r>
          </w:p>
        </w:tc>
        <w:tc>
          <w:tcPr>
            <w:tcW w:type="dxa" w:w="4680"/>
            <w:tcMar>
              <w:top w:type="dxa" w:w="100"/>
              <w:left w:type="dxa" w:w="0"/>
              <w:bottom w:type="dxa" w:w="160"/>
              <w:right w:type="dxa" w:w="240"/>
            </w:tcMar>
          </w:tcPr>
          <w:p>
            <w:pPr>
              <w:spacing w:after="500"/>
            </w:pPr>
            <w:r>
              <w:rPr>
                <w:rFonts w:ascii="Calibri" w:cs="Calibri" w:eastAsia="Calibri" w:hAnsi="Calibri"/>
                <w:b/>
                <w:bCs/>
                <w:sz w:val="22"/>
                <w:szCs w:val="22"/>
              </w:rPr>
              <w:t xml:space="preserve">PARTY B</w:t>
            </w:r>
          </w:p>
          <w:p>
            <w:pPr>
              <w:spacing w:after="120"/>
            </w:pPr>
            <w:r>
              <w:rPr>
                <w:rFonts w:ascii="Calibri" w:cs="Calibri" w:eastAsia="Calibri" w:hAnsi="Calibri"/>
                <w:sz w:val="22"/>
                <w:szCs w:val="22"/>
              </w:rPr>
              <w:t xml:space="preserve">Jose R. Cruz</w:t>
            </w:r>
          </w:p>
          <w:p>
            <w:pPr>
              <w:spacing w:after="120"/>
            </w:pPr>
            <w:r>
              <w:rPr>
                <w:rFonts w:ascii="Calibri" w:cs="Calibri" w:eastAsia="Calibri" w:hAnsi="Calibri"/>
                <w:sz w:val="22"/>
                <w:szCs w:val="22"/>
              </w:rPr>
              <w:t xml:space="preserve">Owner and proprietor, doing business under the name and style “Likha Digital Studio”, signing personally</w:t>
            </w:r>
          </w:p>
          <w:p>
            <w:r>
              <w:rPr>
                <w:rFonts w:ascii="Calibri" w:cs="Calibri" w:eastAsia="Calibri" w:hAnsi="Calibri"/>
                <w:sz w:val="22"/>
                <w:szCs w:val="22"/>
              </w:rPr>
              <w:t xml:space="preserve">Date: ______________________________</w:t>
            </w:r>
          </w:p>
        </w:tc>
      </w:tr>
    </w:tbl>
    <w:p>
      <w:pPr>
        <w:pStyle w:val="Heading2"/>
        <w:keepNext/>
        <w:pageBreakBefore/>
        <w:spacing w:after="140"/>
      </w:pPr>
      <w:r>
        <w:rPr>
          <w:rFonts w:ascii="Calibri" w:cs="Calibri" w:eastAsia="Calibri" w:hAnsi="Calibri"/>
          <w:b/>
          <w:bCs/>
          <w:color w:val="102B3F"/>
          <w:sz w:val="26"/>
          <w:szCs w:val="26"/>
        </w:rPr>
        <w:t xml:space="preserve">LAW.PH PRE-SIGNING GUIDANCE — NOT PART OF THE EXECUTION INSTRUMENT</w:t>
      </w:r>
    </w:p>
    <w:p>
      <w:pPr>
        <w:keepNext/>
        <w:spacing w:after="220" w:line="252"/>
      </w:pPr>
      <w:r>
        <w:rPr>
          <w:rFonts w:ascii="Calibri" w:cs="Calibri" w:eastAsia="Calibri" w:hAnsi="Calibri"/>
          <w:b/>
          <w:bCs/>
          <w:color w:val="8A5A12"/>
          <w:sz w:val="20"/>
          <w:szCs w:val="20"/>
        </w:rPr>
        <w:t xml:space="preserve">The draft instrument ends before this page. The checklist and legal-source record that follow are preparation guidance only: they are not promises, recitals, schedules, annexes, exhibits, attestations, acknowledgments, jurats, or other operative parts of the instrument, and they must not be included in its execution page count.</w:t>
      </w:r>
    </w:p>
    <w:p>
      <w:pPr>
        <w:pStyle w:val="Heading2"/>
        <w:keepNext/>
        <w:spacing w:after="140" w:before="120"/>
      </w:pPr>
      <w:r>
        <w:rPr>
          <w:rFonts w:ascii="Calibri" w:cs="Calibri" w:eastAsia="Calibri" w:hAnsi="Calibri"/>
          <w:b/>
          <w:bCs/>
          <w:color w:val="102B3F"/>
          <w:sz w:val="26"/>
          <w:szCs w:val="26"/>
        </w:rPr>
        <w:t xml:space="preserve">PRE-SIGNING CHECKLIST</w:t>
      </w:r>
    </w:p>
    <w:p>
      <w:pPr>
        <w:pStyle w:val="ListParagraph"/>
        <w:keepNext/>
        <w:numPr>
          <w:ilvl w:val="0"/>
          <w:numId w:val="1"/>
        </w:numPr>
        <w:spacing w:after="120" w:line="264"/>
      </w:pPr>
      <w:r>
        <w:rPr>
          <w:rFonts w:ascii="Calibri" w:cs="Calibri" w:eastAsia="Calibri" w:hAnsi="Calibri"/>
          <w:sz w:val="22"/>
          <w:szCs w:val="22"/>
        </w:rPr>
        <w:t xml:space="preserve">Attach the complete Original Agreement and every prior amendment; reconcile numbering, definitions, dates, schedules, notice details, and signature records.</w:t>
      </w:r>
    </w:p>
    <w:p>
      <w:pPr>
        <w:pStyle w:val="ListParagraph"/>
        <w:keepNext/>
        <w:numPr>
          <w:ilvl w:val="0"/>
          <w:numId w:val="1"/>
        </w:numPr>
        <w:spacing w:after="120" w:line="264"/>
      </w:pPr>
      <w:r>
        <w:rPr>
          <w:rFonts w:ascii="Calibri" w:cs="Calibri" w:eastAsia="Calibri" w:hAnsi="Calibri"/>
          <w:sz w:val="22"/>
          <w:szCs w:val="22"/>
        </w:rPr>
        <w:t xml:space="preserve">Compare every change against the original amendment, integration, waiver, assignment, consent, notice, governing-law, dispute, survival, and signature clauses.</w:t>
      </w:r>
    </w:p>
    <w:p>
      <w:pPr>
        <w:pStyle w:val="ListParagraph"/>
        <w:keepNext/>
        <w:numPr>
          <w:ilvl w:val="0"/>
          <w:numId w:val="1"/>
        </w:numPr>
        <w:spacing w:after="120" w:line="264"/>
      </w:pPr>
      <w:r>
        <w:rPr>
          <w:rFonts w:ascii="Calibri" w:cs="Calibri" w:eastAsia="Calibri" w:hAnsi="Calibri"/>
          <w:sz w:val="22"/>
          <w:szCs w:val="22"/>
        </w:rPr>
        <w:t xml:space="preserve">Confirm the exact legal identity, current registration, signer authority, and board/partner/owner approval for every entity and incoming or released party.</w:t>
      </w:r>
    </w:p>
    <w:p>
      <w:pPr>
        <w:pStyle w:val="ListParagraph"/>
        <w:keepNext/>
        <w:numPr>
          <w:ilvl w:val="0"/>
          <w:numId w:val="1"/>
        </w:numPr>
        <w:spacing w:after="120" w:line="264"/>
      </w:pPr>
      <w:r>
        <w:rPr>
          <w:rFonts w:ascii="Calibri" w:cs="Calibri" w:eastAsia="Calibri" w:hAnsi="Calibri"/>
          <w:sz w:val="22"/>
          <w:szCs w:val="22"/>
        </w:rPr>
        <w:t xml:space="preserve">Keep limited-amendment wording consistent: do not describe the whole original obligation as replaced unless the Parties intentionally satisfy novation requirements.</w:t>
      </w:r>
    </w:p>
    <w:p>
      <w:pPr>
        <w:pStyle w:val="ListParagraph"/>
        <w:keepNext/>
        <w:numPr>
          <w:ilvl w:val="0"/>
          <w:numId w:val="1"/>
        </w:numPr>
        <w:spacing w:after="120" w:line="264"/>
      </w:pPr>
      <w:r>
        <w:rPr>
          <w:rFonts w:ascii="Calibri" w:cs="Calibri" w:eastAsia="Calibri" w:hAnsi="Calibri"/>
          <w:sz w:val="22"/>
          <w:szCs w:val="22"/>
        </w:rPr>
        <w:t xml:space="preserve">Recheck the complete original record for any guaranty, suretyship, mortgage, pledge, personal-property security, letter of credit, or third-party support not identified in the interview.</w:t>
      </w:r>
    </w:p>
    <w:p>
      <w:pPr>
        <w:pStyle w:val="ListParagraph"/>
        <w:keepNext/>
        <w:numPr>
          <w:ilvl w:val="0"/>
          <w:numId w:val="1"/>
        </w:numPr>
        <w:spacing w:after="120" w:line="264"/>
      </w:pPr>
      <w:r>
        <w:rPr>
          <w:rFonts w:ascii="Calibri" w:cs="Calibri" w:eastAsia="Calibri" w:hAnsi="Calibri"/>
          <w:sz w:val="22"/>
          <w:szCs w:val="22"/>
        </w:rPr>
        <w:t xml:space="preserve">Verify the mandatory and regulated rules specific to the original transaction; this general amendment does not replace a sector-specific form or filing.</w:t>
      </w:r>
    </w:p>
    <w:p>
      <w:pPr>
        <w:pStyle w:val="ListParagraph"/>
        <w:keepNext/>
        <w:numPr>
          <w:ilvl w:val="0"/>
          <w:numId w:val="1"/>
        </w:numPr>
        <w:spacing w:after="120" w:line="264"/>
      </w:pPr>
      <w:r>
        <w:rPr>
          <w:rFonts w:ascii="Calibri" w:cs="Calibri" w:eastAsia="Calibri" w:hAnsi="Calibri"/>
          <w:sz w:val="22"/>
          <w:szCs w:val="22"/>
        </w:rPr>
        <w:t xml:space="preserve">Check whether the amendment changes an asset, right, license, permit, tax record, invoice, or registration requiring third-party action.</w:t>
      </w:r>
    </w:p>
    <w:p>
      <w:pPr>
        <w:pStyle w:val="ListParagraph"/>
        <w:keepNext/>
        <w:numPr>
          <w:ilvl w:val="0"/>
          <w:numId w:val="1"/>
        </w:numPr>
        <w:spacing w:after="120" w:line="264"/>
      </w:pPr>
      <w:r>
        <w:rPr>
          <w:rFonts w:ascii="Calibri" w:cs="Calibri" w:eastAsia="Calibri" w:hAnsi="Calibri"/>
          <w:sz w:val="22"/>
          <w:szCs w:val="22"/>
        </w:rPr>
        <w:t xml:space="preserve">Prepare 2 identical complete copies; do not sign a version with blanks, missing schedules, or unapproved edits.</w:t>
      </w:r>
    </w:p>
    <w:p>
      <w:pPr>
        <w:pStyle w:val="ListParagraph"/>
        <w:keepNext/>
        <w:numPr>
          <w:ilvl w:val="0"/>
          <w:numId w:val="1"/>
        </w:numPr>
        <w:spacing w:after="120" w:line="264"/>
      </w:pPr>
      <w:r>
        <w:rPr>
          <w:rFonts w:ascii="Calibri" w:cs="Calibri" w:eastAsia="Calibri" w:hAnsi="Calibri"/>
          <w:sz w:val="22"/>
          <w:szCs w:val="22"/>
        </w:rPr>
        <w:t xml:space="preserve">Confirm whether the law, original agreement, recipient, registry, or transaction requires acknowledgment, a public document, witnesses, registration, filing, or tax payment despite the selected route.</w:t>
      </w:r>
    </w:p>
    <w:p>
      <w:pPr>
        <w:pStyle w:val="ListParagraph"/>
        <w:keepNext/>
        <w:numPr>
          <w:ilvl w:val="0"/>
          <w:numId w:val="1"/>
        </w:numPr>
        <w:spacing w:after="120" w:line="264"/>
      </w:pPr>
      <w:r>
        <w:rPr>
          <w:rFonts w:ascii="Calibri" w:cs="Calibri" w:eastAsia="Calibri" w:hAnsi="Calibri"/>
          <w:sz w:val="22"/>
          <w:szCs w:val="22"/>
        </w:rPr>
        <w:t xml:space="preserve">Circulate the signed Amendment and attachments to every party and operational owner; update the controlled contract register without deleting the original version.</w:t>
      </w:r>
    </w:p>
    <w:p>
      <w:pPr>
        <w:pStyle w:val="ListParagraph"/>
        <w:keepNext w:val="false"/>
        <w:numPr>
          <w:ilvl w:val="0"/>
          <w:numId w:val="1"/>
        </w:numPr>
        <w:spacing w:after="120" w:line="264"/>
      </w:pPr>
      <w:r>
        <w:rPr>
          <w:rFonts w:ascii="Calibri" w:cs="Calibri" w:eastAsia="Calibri" w:hAnsi="Calibri"/>
          <w:sz w:val="22"/>
          <w:szCs w:val="22"/>
        </w:rPr>
        <w:t xml:space="preserve">Independent Philippine contract-lawyer review is pending. Escalate party substitution, novation, guaranty/security, property, employment, consumer, corporate-control, government, regulated, disputed, or retroactive changes before execution.</w:t>
      </w:r>
    </w:p>
    <w:p>
      <w:pPr>
        <w:pStyle w:val="Heading2"/>
        <w:keepNext/>
        <w:pageBreakBefore/>
        <w:spacing w:after="140"/>
      </w:pPr>
      <w:r>
        <w:rPr>
          <w:rFonts w:ascii="Calibri" w:cs="Calibri" w:eastAsia="Calibri" w:hAnsi="Calibri"/>
          <w:b/>
          <w:bCs/>
          <w:color w:val="102B3F"/>
          <w:sz w:val="26"/>
          <w:szCs w:val="26"/>
        </w:rPr>
        <w:t xml:space="preserve">TEMPLATE AND LEGAL SOURCE RECORD — NOT PART OF THE INSTRUMENT</w:t>
      </w:r>
    </w:p>
    <w:p>
      <w:pPr>
        <w:spacing w:after="220" w:line="240"/>
      </w:pPr>
      <w:r>
        <w:rPr>
          <w:rFonts w:ascii="Calibri" w:cs="Calibri" w:eastAsia="Calibri" w:hAnsi="Calibri"/>
          <w:color w:val="566674"/>
          <w:sz w:val="18"/>
          <w:szCs w:val="18"/>
        </w:rPr>
        <w:t xml:space="preserve">Template v0.2.0 | Republic of the Philippines | Effective 2026-08-31 onward, subject to the recorded review cycle | Engineering draft · independent Philippine contract-lawyer review pending | Last legal check 2026-10-01 | Next review due 2026-12-31</w:t>
      </w:r>
    </w:p>
    <w:p>
      <w:pPr>
        <w:keepNext/>
        <w:spacing w:after="60" w:before="100"/>
      </w:pPr>
      <w:r>
        <w:rPr>
          <w:rFonts w:ascii="Calibri" w:cs="Calibri" w:eastAsia="Calibri" w:hAnsi="Calibri"/>
          <w:b/>
          <w:bCs/>
          <w:sz w:val="18"/>
          <w:szCs w:val="18"/>
        </w:rPr>
        <w:t xml:space="preserve">Republic Act No. 386 — Civil Code of the Philippines - Articles 1159, 1291–1306, 1315–1318, 1356–1358, 1403, 1878, 2055, and 2079 — force and modification of obligations, novation, consent/object/cause, form, agent authority, guaranty, and extensions (checked 2026-08-31)</w:t>
      </w:r>
    </w:p>
    <w:p>
      <w:pPr>
        <w:spacing w:after="120"/>
      </w:pPr>
      <w:hyperlink w:history="1" r:id="rIdvw5jtv53foxdarfczkl36">
        <w:r>
          <w:rPr>
            <w:rFonts w:ascii="Calibri" w:cs="Calibri" w:eastAsia="Calibri" w:hAnsi="Calibri"/>
            <w:color w:val="315B75"/>
            <w:sz w:val="17"/>
            <w:szCs w:val="17"/>
            <w:u w:val="single"/>
          </w:rPr>
          <w:t xml:space="preserve">https://lawphil.net/statutes/repacts/ra1949/ra_386_1949.html</w:t>
        </w:r>
      </w:hyperlink>
    </w:p>
    <w:p>
      <w:pPr>
        <w:keepNext/>
        <w:spacing w:after="60" w:before="100"/>
      </w:pPr>
      <w:r>
        <w:rPr>
          <w:rFonts w:ascii="Calibri" w:cs="Calibri" w:eastAsia="Calibri" w:hAnsi="Calibri"/>
          <w:b/>
          <w:bCs/>
          <w:sz w:val="18"/>
          <w:szCs w:val="18"/>
        </w:rPr>
        <w:t xml:space="preserve">Arco Pulp and Paper Co., Inc. v. Lim - G.R. No. 206806, 25 June 2014 — novation must be clear and unequivocal, is never presumed, and may be implied only from incompatibility on every point (checked 2026-08-31)</w:t>
      </w:r>
    </w:p>
    <w:p>
      <w:pPr>
        <w:spacing w:after="120"/>
      </w:pPr>
      <w:hyperlink w:history="1" r:id="rIdzs8v3udxvubehnhic1nkv">
        <w:r>
          <w:rPr>
            <w:rFonts w:ascii="Calibri" w:cs="Calibri" w:eastAsia="Calibri" w:hAnsi="Calibri"/>
            <w:color w:val="315B75"/>
            <w:sz w:val="17"/>
            <w:szCs w:val="17"/>
            <w:u w:val="single"/>
          </w:rPr>
          <w:t xml:space="preserve">https://lawphil.net/judjuris/juri2014/jun2014/gr_206806_2014.html</w:t>
        </w:r>
      </w:hyperlink>
    </w:p>
    <w:p>
      <w:pPr>
        <w:keepNext/>
        <w:spacing w:after="60" w:before="100"/>
      </w:pPr>
      <w:r>
        <w:rPr>
          <w:rFonts w:ascii="Calibri" w:cs="Calibri" w:eastAsia="Calibri" w:hAnsi="Calibri"/>
          <w:b/>
          <w:bCs/>
          <w:sz w:val="18"/>
          <w:szCs w:val="18"/>
        </w:rPr>
        <w:t xml:space="preserve">Republic Act No. 8792 — Electronic Commerce Act of 2000 - Sections 6–9 and 16–18 — electronic documents, writing/original requirements, reliable electronic signatures, formation, attribution, and integrity without displacing special formalities (checked 2026-08-31)</w:t>
      </w:r>
    </w:p>
    <w:p>
      <w:pPr>
        <w:spacing w:after="120"/>
      </w:pPr>
      <w:hyperlink w:history="1" r:id="rIdjdvz8tzsxtm9srucaqjma">
        <w:r>
          <w:rPr>
            <w:rFonts w:ascii="Calibri" w:cs="Calibri" w:eastAsia="Calibri" w:hAnsi="Calibri"/>
            <w:color w:val="315B75"/>
            <w:sz w:val="17"/>
            <w:szCs w:val="17"/>
            <w:u w:val="single"/>
          </w:rPr>
          <w:t xml:space="preserve">https://lawphil.net/statutes/repacts/ra2000/ra_8792_2000.html</w:t>
        </w:r>
      </w:hyperlink>
    </w:p>
    <w:p>
      <w:pPr>
        <w:keepNext/>
        <w:spacing w:after="60" w:before="100"/>
      </w:pPr>
      <w:r>
        <w:rPr>
          <w:rFonts w:ascii="Calibri" w:cs="Calibri" w:eastAsia="Calibri" w:hAnsi="Calibri"/>
          <w:b/>
          <w:bCs/>
          <w:sz w:val="18"/>
          <w:szCs w:val="18"/>
        </w:rPr>
        <w:t xml:space="preserve">2004 Rules on Notarial Practice, A.M. No. 02-8-13-SC, as amended by the Supreme Court Resolution of March 4, 2025 - Rule II, Sec. 1 (acknowledgment, including the representative's authority to sign in that capacity); Rule VIII, Sec. 2 (contents of the notarial certificate) (checked 2026-10-01)</w:t>
      </w:r>
    </w:p>
    <w:p>
      <w:pPr>
        <w:spacing w:after="120"/>
      </w:pPr>
      <w:hyperlink w:history="1" r:id="rIdnbgfye-yhqy7zvyhp9usx">
        <w:r>
          <w:rPr>
            <w:rFonts w:ascii="Calibri" w:cs="Calibri" w:eastAsia="Calibri" w:hAnsi="Calibri"/>
            <w:color w:val="315B75"/>
            <w:sz w:val="17"/>
            <w:szCs w:val="17"/>
            <w:u w:val="single"/>
          </w:rPr>
          <w:t xml:space="preserve">https://sc.judiciary.gov.ph/wp-content/uploads/2025/06/Amended-2004-Notarial-Rules.pdf</w:t>
        </w:r>
      </w:hyperlink>
    </w:p>
    <w:p>
      <w:pPr>
        <w:keepNext/>
        <w:spacing w:after="60" w:before="100"/>
      </w:pPr>
      <w:r>
        <w:rPr>
          <w:rFonts w:ascii="Calibri" w:cs="Calibri" w:eastAsia="Calibri" w:hAnsi="Calibri"/>
          <w:b/>
          <w:bCs/>
          <w:sz w:val="18"/>
          <w:szCs w:val="18"/>
        </w:rPr>
        <w:t xml:space="preserve">Excellent Quality Apparel, Inc. v. Win Multi Rich Builders, Inc., G.R. No. 175048, February 10, 2009 - A sole proprietorship has no juridical personality separate from its owner; the owner is the contracting party (checked 2026-10-01)</w:t>
      </w:r>
    </w:p>
    <w:p>
      <w:pPr>
        <w:spacing w:after="120"/>
      </w:pPr>
      <w:hyperlink w:history="1" r:id="rId_rcgvx6pufhcdbzzhkwl_">
        <w:r>
          <w:rPr>
            <w:rFonts w:ascii="Calibri" w:cs="Calibri" w:eastAsia="Calibri" w:hAnsi="Calibri"/>
            <w:color w:val="315B75"/>
            <w:sz w:val="17"/>
            <w:szCs w:val="17"/>
            <w:u w:val="single"/>
          </w:rPr>
          <w:t xml:space="preserve">https://lawphil.net/judjuris/juri2009/feb2009/gr_175048_2009.html</w:t>
        </w:r>
      </w:hyperlink>
    </w:p>
    <w:p>
      <w:pPr>
        <w:keepNext/>
        <w:spacing w:after="60" w:before="100"/>
      </w:pPr>
      <w:r>
        <w:rPr>
          <w:rFonts w:ascii="Calibri" w:cs="Calibri" w:eastAsia="Calibri" w:hAnsi="Calibri"/>
          <w:b/>
          <w:bCs/>
          <w:sz w:val="18"/>
          <w:szCs w:val="18"/>
        </w:rPr>
        <w:t xml:space="preserve">Rules of Court, Rule 4 (Venue of Actions); Sps. Lantin v. Lantion, G.R. No. 160053, August 28, 2006 - Rule 4, Sec. 4(b): parties may agree in writing on an exclusive venue; without restrictive words a venue stipulation is only an additional forum (checked 2026-10-01)</w:t>
      </w:r>
    </w:p>
    <w:p>
      <w:pPr>
        <w:spacing w:after="120"/>
      </w:pPr>
      <w:hyperlink w:history="1" r:id="rId5z-2aznf_0uh-5zcsafkr">
        <w:r>
          <w:rPr>
            <w:rFonts w:ascii="Calibri" w:cs="Calibri" w:eastAsia="Calibri" w:hAnsi="Calibri"/>
            <w:color w:val="315B75"/>
            <w:sz w:val="17"/>
            <w:szCs w:val="17"/>
            <w:u w:val="single"/>
          </w:rPr>
          <w:t xml:space="preserve">https://lawphil.net/judjuris/juri2006/aug2006/gr_160053_2006.html</w:t>
        </w:r>
      </w:hyperlink>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687783"/>
        <w:sz w:val="16"/>
        <w:szCs w:val="16"/>
      </w:rPr>
      <w:t xml:space="preserve">LAW.PH · Template v0.2.0 · REVIEW PENDING · Page </w:t>
    </w:r>
    <w:r>
      <w:rPr>
        <w:color w:val="687783"/>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pPr>
        <w:spacing w:line="264"/>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next w:val="Normal"/>
    <w:pPr>
      <w:jc w:val="center"/>
    </w:pPr>
    <w:rPr>
      <w:rFonts w:ascii="Calibri" w:cs="Calibri" w:eastAsia="Calibri" w:hAnsi="Calibri"/>
      <w:b/>
      <w:bCs/>
      <w:color w:val="102B3F"/>
      <w:sz w:val="30"/>
      <w:szCs w:val="3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w5jtv53foxdarfczkl36" Type="http://schemas.openxmlformats.org/officeDocument/2006/relationships/hyperlink" Target="https://lawphil.net/statutes/repacts/ra1949/ra_386_1949.html" TargetMode="External"/><Relationship Id="rIdzs8v3udxvubehnhic1nkv" Type="http://schemas.openxmlformats.org/officeDocument/2006/relationships/hyperlink" Target="https://lawphil.net/judjuris/juri2014/jun2014/gr_206806_2014.html" TargetMode="External"/><Relationship Id="rIdjdvz8tzsxtm9srucaqjma" Type="http://schemas.openxmlformats.org/officeDocument/2006/relationships/hyperlink" Target="https://lawphil.net/statutes/repacts/ra2000/ra_8792_2000.html" TargetMode="External"/><Relationship Id="rIdnbgfye-yhqy7zvyhp9usx" Type="http://schemas.openxmlformats.org/officeDocument/2006/relationships/hyperlink" Target="https://sc.judiciary.gov.ph/wp-content/uploads/2025/06/Amended-2004-Notarial-Rules.pdf" TargetMode="External"/><Relationship Id="rId_rcgvx6pufhcdbzzhkwl_" Type="http://schemas.openxmlformats.org/officeDocument/2006/relationships/hyperlink" Target="https://lawphil.net/judjuris/juri2009/feb2009/gr_175048_2009.html" TargetMode="External"/><Relationship Id="rId5z-2aznf_0uh-5zcsafkr" Type="http://schemas.openxmlformats.org/officeDocument/2006/relationships/hyperlink" Target="https://lawphil.net/judjuris/juri2006/aug2006/gr_160053_2006.html" TargetMode="External"/><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First Amendment to Digital Marketing Services Agreement</dc:title>
  <dc:creator>LAW.PH</dc:creator>
  <dc:description>Free sample of the Contract Amendment from LAW.PH, with fictional details</dc:description>
  <cp:lastModifiedBy>Un-named</cp:lastModifiedBy>
  <cp:revision>1</cp:revision>
  <dcterms:created xsi:type="dcterms:W3CDTF">2026-10-02T05:29:58.665Z</dcterms:created>
  <dcterms:modified xsi:type="dcterms:W3CDTF">2026-10-02T05:29:58.665Z</dcterms:modified>
</cp:coreProperties>
</file>

<file path=docProps/custom.xml><?xml version="1.0" encoding="utf-8"?>
<Properties xmlns="http://schemas.openxmlformats.org/officeDocument/2006/custom-properties" xmlns:vt="http://schemas.openxmlformats.org/officeDocument/2006/docPropsVTypes"/>
</file>