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MUTUAL CONTRACT TERMINATION AND LIMITED RELEASE AGREEMENT</w:t>
      </w:r>
    </w:p>
    <w:p>
      <w:pPr>
        <w:spacing w:after="160"/>
        <w:jc w:val="center"/>
      </w:pPr>
      <w:r>
        <w:rPr>
          <w:rFonts w:ascii="Calibri" w:cs="Calibri" w:eastAsia="Calibri" w:hAnsi="Calibri"/>
          <w:color w:val="566674"/>
          <w:sz w:val="18"/>
          <w:szCs w:val="18"/>
        </w:rPr>
        <w:t xml:space="preserve">Republic of the Philippines · settlement release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independent Philippine contract-lawyer review pending</w:t>
      </w:r>
    </w:p>
    <w:p>
      <w:pPr>
        <w:pStyle w:val="Heading2"/>
        <w:keepNext/>
        <w:spacing w:after="120" w:before="240"/>
      </w:pPr>
      <w:r>
        <w:rPr>
          <w:rFonts w:ascii="Calibri" w:cs="Calibri" w:eastAsia="Calibri" w:hAnsi="Calibri"/>
          <w:b/>
          <w:bCs/>
          <w:color w:val="102B3F"/>
          <w:sz w:val="26"/>
          <w:szCs w:val="26"/>
        </w:rPr>
        <w:t xml:space="preserve">PARTIES AND ORIGINAL AGREEMENT</w:t>
      </w:r>
    </w:p>
    <w:p>
      <w:pPr>
        <w:keepLines/>
        <w:spacing w:after="120" w:line="264"/>
        <w:jc w:val="both"/>
      </w:pPr>
      <w:r>
        <w:rPr>
          <w:rFonts w:ascii="Calibri" w:cs="Calibri" w:eastAsia="Calibri" w:hAnsi="Calibri"/>
          <w:sz w:val="22"/>
          <w:szCs w:val="22"/>
        </w:rPr>
        <w:t xml:space="preserve">This Mutual Contract Termination and Limited Release Agreement (the “Termination Agreement”) is executed on August 31, 2026 by Bayanihan Retail Corporation, a corporation, with address at 120 Ayala Avenue, Makati City 1226, Philippines, represented by Maria L. Santos, President, who is duly authorized (“Party A”), and Juan D. Reyes, of legal age, with address at 48 Scout Rallos Street, Quezon City 1103, Philippines (“Party B”), collectively the “Parties.”</w:t>
      </w:r>
    </w:p>
    <w:p>
      <w:pPr>
        <w:keepLines/>
        <w:spacing w:after="120" w:line="264"/>
        <w:jc w:val="both"/>
      </w:pPr>
      <w:r>
        <w:rPr>
          <w:rFonts w:ascii="Calibri" w:cs="Calibri" w:eastAsia="Calibri" w:hAnsi="Calibri"/>
          <w:sz w:val="22"/>
          <w:szCs w:val="22"/>
        </w:rPr>
        <w:t xml:space="preserve">The Parties entered into the Digital Campaign Services Agreement dated January 15, 2026 concerning 2026 product-launch campaign under Project Sampaguita (the “Original Agreement”). They reviewed the complete signed Original Agreement, its schedules, amendments, change orders, and side letters before signing this Termination Agreement.</w:t>
      </w:r>
    </w:p>
    <w:p>
      <w:pPr>
        <w:pStyle w:val="Heading2"/>
        <w:keepNext/>
        <w:spacing w:after="120" w:before="240"/>
      </w:pPr>
      <w:r>
        <w:rPr>
          <w:rFonts w:ascii="Calibri" w:cs="Calibri" w:eastAsia="Calibri" w:hAnsi="Calibri"/>
          <w:b/>
          <w:bCs/>
          <w:color w:val="102B3F"/>
          <w:sz w:val="26"/>
          <w:szCs w:val="26"/>
        </w:rPr>
        <w:t xml:space="preserve">RECITALS</w:t>
      </w:r>
    </w:p>
    <w:p>
      <w:pPr>
        <w:keepLines/>
        <w:spacing w:after="120" w:line="264"/>
        <w:jc w:val="both"/>
      </w:pPr>
      <w:r>
        <w:rPr>
          <w:rFonts w:ascii="Calibri" w:cs="Calibri" w:eastAsia="Calibri" w:hAnsi="Calibri"/>
          <w:sz w:val="22"/>
          <w:szCs w:val="22"/>
        </w:rPr>
        <w:t xml:space="preserve">The Original Agreement's termination, expiry, cure, and survival terms are recorded as follows: Section 12 permits mutual written termination and requires confidentiality, accrued payment, intellectual-property, and dispute provisions to survive according to their terms.</w:t>
      </w:r>
    </w:p>
    <w:p>
      <w:pPr>
        <w:keepLines/>
        <w:spacing w:after="120" w:line="264"/>
        <w:jc w:val="both"/>
      </w:pPr>
      <w:r>
        <w:rPr>
          <w:rFonts w:ascii="Calibri" w:cs="Calibri" w:eastAsia="Calibri" w:hAnsi="Calibri"/>
          <w:sz w:val="22"/>
          <w:szCs w:val="22"/>
        </w:rPr>
        <w:t xml:space="preserve">Its notice, governing-law, venue, and dispute terms are recorded as follows: Section 14 requires written notice by personal delivery, courier, or confirmed email and applies Philippine law with venue in Makati City.</w:t>
      </w:r>
    </w:p>
    <w:p>
      <w:pPr>
        <w:keepLines/>
        <w:spacing w:after="120" w:line="264"/>
        <w:jc w:val="both"/>
      </w:pPr>
      <w:r>
        <w:rPr>
          <w:rFonts w:ascii="Calibri" w:cs="Calibri" w:eastAsia="Calibri" w:hAnsi="Calibri"/>
          <w:sz w:val="22"/>
          <w:szCs w:val="22"/>
        </w:rPr>
        <w:t xml:space="preserve">The Parties mutually wish to end future performance under the Original Agreement without treating it as void from inception for the following reason: The campaign scope has been completed in part, and the parties mutually prefer an orderly closeout rather than commissioning the remaining optional campaign phase. The operative provisions below, not a label or recital alone, control.</w:t>
      </w:r>
    </w:p>
    <w:p>
      <w:pPr>
        <w:pStyle w:val="Heading2"/>
        <w:keepNext/>
        <w:spacing w:after="120" w:before="240"/>
      </w:pPr>
      <w:r>
        <w:rPr>
          <w:rFonts w:ascii="Calibri" w:cs="Calibri" w:eastAsia="Calibri" w:hAnsi="Calibri"/>
          <w:b/>
          <w:bCs/>
          <w:color w:val="102B3F"/>
          <w:sz w:val="26"/>
          <w:szCs w:val="26"/>
        </w:rPr>
        <w:t xml:space="preserve">1. MUTUAL TERMINATION; EFFECTIVE TIME</w:t>
      </w:r>
    </w:p>
    <w:p>
      <w:pPr>
        <w:keepLines/>
        <w:spacing w:after="120" w:line="264"/>
        <w:jc w:val="both"/>
      </w:pPr>
      <w:r>
        <w:rPr>
          <w:rFonts w:ascii="Calibri" w:cs="Calibri" w:eastAsia="Calibri" w:hAnsi="Calibri"/>
          <w:sz w:val="22"/>
          <w:szCs w:val="22"/>
        </w:rPr>
        <w:t xml:space="preserve">Termination takes effect on September 15, 2026, provided the complete Agreement has then been signed and every required consent and approval obtained.</w:t>
      </w:r>
    </w:p>
    <w:p>
      <w:pPr>
        <w:keepLines/>
        <w:spacing w:after="120" w:line="264"/>
        <w:jc w:val="both"/>
      </w:pPr>
      <w:r>
        <w:rPr>
          <w:rFonts w:ascii="Calibri" w:cs="Calibri" w:eastAsia="Calibri" w:hAnsi="Calibri"/>
          <w:sz w:val="22"/>
          <w:szCs w:val="22"/>
        </w:rPr>
        <w:t xml:space="preserve">From effectiveness, no Party must perform a future obligation under the Original Agreement except an obligation expressly preserved or created by this Termination Agreement. Completed performance, accrued rights, prior breaches, and existing claims are not erased merely by prospective termination.</w:t>
      </w:r>
    </w:p>
    <w:p>
      <w:pPr>
        <w:keepLines/>
        <w:spacing w:after="120" w:line="264"/>
        <w:jc w:val="both"/>
      </w:pPr>
      <w:r>
        <w:rPr>
          <w:rFonts w:ascii="Calibri" w:cs="Calibri" w:eastAsia="Calibri" w:hAnsi="Calibri"/>
          <w:sz w:val="22"/>
          <w:szCs w:val="22"/>
        </w:rPr>
        <w:t xml:space="preserve">Cessation and completion boundary: No new campaign work will begin after 15 September 2026. The provider will complete only the final asset archive, analytics export, and transition tasks identified below.</w:t>
      </w:r>
    </w:p>
    <w:p>
      <w:pPr>
        <w:pStyle w:val="Heading2"/>
        <w:keepNext/>
        <w:spacing w:after="120" w:before="240"/>
      </w:pPr>
      <w:r>
        <w:rPr>
          <w:rFonts w:ascii="Calibri" w:cs="Calibri" w:eastAsia="Calibri" w:hAnsi="Calibri"/>
          <w:b/>
          <w:bCs/>
          <w:color w:val="102B3F"/>
          <w:sz w:val="26"/>
          <w:szCs w:val="26"/>
        </w:rPr>
        <w:t xml:space="preserve">2. WORK IN PROGRESS, HANDOVER, PROPERTY, AND ACCESS</w:t>
      </w:r>
    </w:p>
    <w:p>
      <w:pPr>
        <w:keepLines/>
        <w:spacing w:after="120" w:line="264"/>
        <w:jc w:val="both"/>
      </w:pPr>
      <w:r>
        <w:rPr>
          <w:rFonts w:ascii="Calibri" w:cs="Calibri" w:eastAsia="Calibri" w:hAnsi="Calibri"/>
          <w:sz w:val="22"/>
          <w:szCs w:val="22"/>
        </w:rPr>
        <w:t xml:space="preserve">Work status: The August campaign assets are accepted. The optional September campaign is cancelled without further production fees, and the final analytics export remains due at handover.</w:t>
      </w:r>
    </w:p>
    <w:p>
      <w:pPr>
        <w:keepLines/>
        <w:spacing w:after="120" w:line="264"/>
        <w:jc w:val="both"/>
      </w:pPr>
      <w:r>
        <w:rPr>
          <w:rFonts w:ascii="Calibri" w:cs="Calibri" w:eastAsia="Calibri" w:hAnsi="Calibri"/>
          <w:sz w:val="22"/>
          <w:szCs w:val="22"/>
        </w:rPr>
        <w:t xml:space="preserve">Handover: Juan D. Reyes will deliver the source-file archive, approved final assets, analytics export, and asset index to Maria L. Santos by 18 September 2026 against a signed receipt.</w:t>
      </w:r>
    </w:p>
    <w:p>
      <w:pPr>
        <w:keepLines/>
        <w:spacing w:after="120" w:line="264"/>
        <w:jc w:val="both"/>
      </w:pPr>
      <w:r>
        <w:rPr>
          <w:rFonts w:ascii="Calibri" w:cs="Calibri" w:eastAsia="Calibri" w:hAnsi="Calibri"/>
          <w:sz w:val="22"/>
          <w:szCs w:val="22"/>
        </w:rPr>
        <w:t xml:space="preserve">Property and records: Each party will return the other's storage devices, original records, samples, and access tokens by 18 September 2026 against a signed itemized return receipt.</w:t>
      </w:r>
    </w:p>
    <w:p>
      <w:pPr>
        <w:keepLines/>
        <w:spacing w:after="120" w:line="264"/>
        <w:jc w:val="both"/>
      </w:pPr>
      <w:r>
        <w:rPr>
          <w:rFonts w:ascii="Calibri" w:cs="Calibri" w:eastAsia="Calibri" w:hAnsi="Calibri"/>
          <w:sz w:val="22"/>
          <w:szCs w:val="22"/>
        </w:rPr>
        <w:t xml:space="preserve">Access and authority closure: Administrator, advertising-platform, cloud-drive, and office access will be removed only after the verified archive transfer on 18 September 2026, with audit logs preserved for ninety days.</w:t>
      </w:r>
    </w:p>
    <w:p>
      <w:pPr>
        <w:keepLines/>
        <w:spacing w:after="120" w:line="264"/>
        <w:jc w:val="both"/>
      </w:pPr>
      <w:r>
        <w:rPr>
          <w:rFonts w:ascii="Calibri" w:cs="Calibri" w:eastAsia="Calibri" w:hAnsi="Calibri"/>
          <w:sz w:val="22"/>
          <w:szCs w:val="22"/>
        </w:rPr>
        <w:t xml:space="preserve">Each responsible Party shall sign or retain objective completion evidence. Acceptance of a return or handover does not waive a hidden shortage, unauthorized copy, data incident, or other matter outside the signed record.</w:t>
      </w:r>
    </w:p>
    <w:p>
      <w:pPr>
        <w:pStyle w:val="Heading2"/>
        <w:keepNext/>
        <w:spacing w:after="120" w:before="240"/>
      </w:pPr>
      <w:r>
        <w:rPr>
          <w:rFonts w:ascii="Calibri" w:cs="Calibri" w:eastAsia="Calibri" w:hAnsi="Calibri"/>
          <w:b/>
          <w:bCs/>
          <w:color w:val="102B3F"/>
          <w:sz w:val="26"/>
          <w:szCs w:val="26"/>
        </w:rPr>
        <w:t xml:space="preserve">3. FINAL ACCOUNTING, PAYMENT, AND TAX RECORDS</w:t>
      </w:r>
    </w:p>
    <w:p>
      <w:pPr>
        <w:keepLines/>
        <w:spacing w:after="120" w:line="264"/>
        <w:jc w:val="both"/>
      </w:pPr>
      <w:r>
        <w:rPr>
          <w:rFonts w:ascii="Calibri" w:cs="Calibri" w:eastAsia="Calibri" w:hAnsi="Calibri"/>
          <w:sz w:val="22"/>
          <w:szCs w:val="22"/>
        </w:rPr>
        <w:t xml:space="preserve">Party A shall pay Party B ₱125,000.00 on or before September 20, 2026 through Cleared bank transfer to the provider account independently reconfirmed by telephone, with the bank reference emailed to both finance contacts. A payment is complete only upon receipt of cleared funds and delivery of any required invoice, withholding certificate, or receipt.</w:t>
      </w:r>
    </w:p>
    <w:p>
      <w:pPr>
        <w:keepLines/>
        <w:spacing w:after="120" w:line="264"/>
        <w:jc w:val="both"/>
      </w:pPr>
      <w:r>
        <w:rPr>
          <w:rFonts w:ascii="Calibri" w:cs="Calibri" w:eastAsia="Calibri" w:hAnsi="Calibri"/>
          <w:sz w:val="22"/>
          <w:szCs w:val="22"/>
        </w:rPr>
        <w:t xml:space="preserve">Deposits, advances, retainers, credits, chargebacks, and prepayments: The PHP 50,000 advance has been credited against accepted work. No deposit, retainer, prepaid media budget, or chargeback remains after the stated final payment.</w:t>
      </w:r>
    </w:p>
    <w:p>
      <w:pPr>
        <w:keepLines/>
        <w:spacing w:after="120" w:line="264"/>
        <w:jc w:val="both"/>
      </w:pPr>
      <w:r>
        <w:rPr>
          <w:rFonts w:ascii="Calibri" w:cs="Calibri" w:eastAsia="Calibri" w:hAnsi="Calibri"/>
          <w:sz w:val="22"/>
          <w:szCs w:val="22"/>
        </w:rPr>
        <w:t xml:space="preserve">Tax and invoice administration: Each party will issue and retain the invoices, official records, withholding certificates, and tax documentation required by its actual status and the transaction. The Parties do not recharacterize a payment or shift a tax imposed by law merely through this Agreement.</w:t>
      </w:r>
    </w:p>
    <w:p>
      <w:pPr>
        <w:pStyle w:val="Heading2"/>
        <w:keepNext/>
        <w:spacing w:after="120" w:before="240"/>
      </w:pPr>
      <w:r>
        <w:rPr>
          <w:rFonts w:ascii="Calibri" w:cs="Calibri" w:eastAsia="Calibri" w:hAnsi="Calibri"/>
          <w:b/>
          <w:bCs/>
          <w:color w:val="102B3F"/>
          <w:sz w:val="26"/>
          <w:szCs w:val="26"/>
        </w:rPr>
        <w:t xml:space="preserve">4. INTELLECTUAL PROPERTY, CONFIDENTIAL INFORMATION, AND PERSONAL DATA</w:t>
      </w:r>
    </w:p>
    <w:p>
      <w:pPr>
        <w:keepLines/>
        <w:spacing w:after="120" w:line="264"/>
        <w:jc w:val="both"/>
      </w:pPr>
      <w:r>
        <w:rPr>
          <w:rFonts w:ascii="Calibri" w:cs="Calibri" w:eastAsia="Calibri" w:hAnsi="Calibri"/>
          <w:sz w:val="22"/>
          <w:szCs w:val="22"/>
        </w:rPr>
        <w:t xml:space="preserve">Intellectual property and deliverables: Ownership of paid final campaign assets transfers under Section 8 of the Original Agreement upon cleared final payment. Drafts, rejected concepts, and pre-existing tools remain with their original owner.</w:t>
      </w:r>
    </w:p>
    <w:p>
      <w:pPr>
        <w:keepLines/>
        <w:spacing w:after="120" w:line="264"/>
        <w:jc w:val="both"/>
      </w:pPr>
      <w:r>
        <w:rPr>
          <w:rFonts w:ascii="Calibri" w:cs="Calibri" w:eastAsia="Calibri" w:hAnsi="Calibri"/>
          <w:sz w:val="22"/>
          <w:szCs w:val="22"/>
        </w:rPr>
        <w:t xml:space="preserve">Confidentiality route (survive and dispose): The Original Agreement's three-year confidentiality and restricted-use duties survive. Each party will return or securely delete protected copies within ten days, except an isolated legal archive and inaccessible routine backups.</w:t>
      </w:r>
    </w:p>
    <w:p>
      <w:pPr>
        <w:keepLines/>
        <w:spacing w:after="120" w:line="264"/>
        <w:jc w:val="both"/>
      </w:pPr>
      <w:r>
        <w:rPr>
          <w:rFonts w:ascii="Calibri" w:cs="Calibri" w:eastAsia="Calibri" w:hAnsi="Calibri"/>
          <w:sz w:val="22"/>
          <w:szCs w:val="22"/>
        </w:rPr>
        <w:t xml:space="preserve">Personal-data route (return delete): The provider will return the approved customer-data export, remove working copies from active systems within ten days after handover, isolate any required tax record, and certify deletion and access closure.</w:t>
      </w:r>
    </w:p>
    <w:p>
      <w:pPr>
        <w:keepLines/>
        <w:spacing w:after="120" w:line="264"/>
        <w:jc w:val="both"/>
      </w:pPr>
      <w:r>
        <w:rPr>
          <w:rFonts w:ascii="Calibri" w:cs="Calibri" w:eastAsia="Calibri" w:hAnsi="Calibri"/>
          <w:sz w:val="22"/>
          <w:szCs w:val="22"/>
        </w:rPr>
        <w:t xml:space="preserve">Termination does not authorize continued collection, disclosure, access, use, retention, or transfer beyond a valid purpose, lawful basis, documented instruction, legal retention duty, and proportionate security control.</w:t>
      </w:r>
    </w:p>
    <w:p>
      <w:pPr>
        <w:pStyle w:val="Heading2"/>
        <w:keepNext/>
        <w:spacing w:after="120" w:before="240"/>
      </w:pPr>
      <w:r>
        <w:rPr>
          <w:rFonts w:ascii="Calibri" w:cs="Calibri" w:eastAsia="Calibri" w:hAnsi="Calibri"/>
          <w:b/>
          <w:bCs/>
          <w:color w:val="102B3F"/>
          <w:sz w:val="26"/>
          <w:szCs w:val="26"/>
        </w:rPr>
        <w:t xml:space="preserve">5. SURVIVING OBLIGATIONS</w:t>
      </w:r>
    </w:p>
    <w:p>
      <w:pPr>
        <w:keepLines/>
        <w:spacing w:after="120" w:line="264"/>
        <w:jc w:val="both"/>
      </w:pPr>
      <w:r>
        <w:rPr>
          <w:rFonts w:ascii="Calibri" w:cs="Calibri" w:eastAsia="Calibri" w:hAnsi="Calibri"/>
          <w:sz w:val="22"/>
          <w:szCs w:val="22"/>
        </w:rPr>
        <w:t xml:space="preserve">To the extent valid and applicable, the following Original Agreement obligations survive according to their stated duration or nature: accrued payment and accounting; confidentiality and restricted use; privacy, security, return, retention, and deletion; intellectual-property ownership and licenses; governing law and dispute resolution. Obligations created by this Termination Agreement also survive until fully performed.</w:t>
      </w:r>
    </w:p>
    <w:p>
      <w:pPr>
        <w:keepLines/>
        <w:spacing w:after="120" w:line="264"/>
        <w:jc w:val="both"/>
      </w:pPr>
      <w:r>
        <w:rPr>
          <w:rFonts w:ascii="Calibri" w:cs="Calibri" w:eastAsia="Calibri" w:hAnsi="Calibri"/>
          <w:sz w:val="22"/>
          <w:szCs w:val="22"/>
        </w:rPr>
        <w:t xml:space="preserve">A survival reference does not revive an invalid term, enlarge it beyond its original scope, create perpetual duties without clear wording, or override a mandatory law.</w:t>
      </w:r>
    </w:p>
    <w:p>
      <w:pPr>
        <w:pStyle w:val="Heading2"/>
        <w:keepNext/>
        <w:spacing w:after="120" w:before="240"/>
      </w:pPr>
      <w:r>
        <w:rPr>
          <w:rFonts w:ascii="Calibri" w:cs="Calibri" w:eastAsia="Calibri" w:hAnsi="Calibri"/>
          <w:b/>
          <w:bCs/>
          <w:color w:val="102B3F"/>
          <w:sz w:val="26"/>
          <w:szCs w:val="26"/>
        </w:rPr>
        <w:t xml:space="preserve">6. LIMITED RELEASE AND EXPRESS EXCLUSIONS</w:t>
      </w:r>
    </w:p>
    <w:p>
      <w:pPr>
        <w:keepLines/>
        <w:spacing w:after="120" w:line="264"/>
        <w:jc w:val="both"/>
      </w:pPr>
      <w:r>
        <w:rPr>
          <w:rFonts w:ascii="Calibri" w:cs="Calibri" w:eastAsia="Calibri" w:hAnsi="Calibri"/>
          <w:sz w:val="22"/>
          <w:szCs w:val="22"/>
        </w:rPr>
        <w:t xml:space="preserve">Each Party releases only the specifically listed known claims: Upon cleared final payment and completed handover, each party releases the other only from the disputed August revision fees and the cancelled optional September campaign obligations under the identified Original Agreement. The reciprocal concession supporting that limited release is: Party A's final payment, Party B's completed archive and handover, cancellation of the optional September phase, and the parties' reciprocal limited releases. The release becomes effective only after every required payment, return, handover, restitution, and other release condition has been fully performed and cleared.</w:t>
      </w:r>
    </w:p>
    <w:p>
      <w:pPr>
        <w:keepLines/>
        <w:spacing w:after="120" w:line="264"/>
        <w:jc w:val="both"/>
      </w:pPr>
      <w:r>
        <w:rPr>
          <w:rFonts w:ascii="Calibri" w:cs="Calibri" w:eastAsia="Calibri" w:hAnsi="Calibri"/>
          <w:sz w:val="22"/>
          <w:szCs w:val="22"/>
        </w:rPr>
        <w:t xml:space="preserve">The release expressly excludes: Excluded are obligations under this Termination Agreement, fraud or bad faith, taxes, confidentiality, privacy, intellectual-property title, third-party rights, non-waivable rights, and matters outside the Original Agreement.</w:t>
      </w:r>
    </w:p>
    <w:p>
      <w:pPr>
        <w:keepLines/>
        <w:spacing w:after="120" w:line="264"/>
        <w:jc w:val="both"/>
      </w:pPr>
      <w:r>
        <w:rPr>
          <w:rFonts w:ascii="Calibri" w:cs="Calibri" w:eastAsia="Calibri" w:hAnsi="Calibri"/>
          <w:sz w:val="22"/>
          <w:szCs w:val="22"/>
        </w:rPr>
        <w:t xml:space="preserve">No release covers an obligation created by this Termination Agreement, future fraud, later bad faith, criminal or public liability, a non-waivable statutory right, a tax authority or regulator, a non-signing third person's right, or a matter outside the identified Original Agreement and defined subject matter. A general phrase is construed only within the specific claims and dispute actually described.</w:t>
      </w:r>
    </w:p>
    <w:p>
      <w:pPr>
        <w:pStyle w:val="Heading2"/>
        <w:keepNext/>
        <w:spacing w:after="120" w:before="240"/>
      </w:pPr>
      <w:r>
        <w:rPr>
          <w:rFonts w:ascii="Calibri" w:cs="Calibri" w:eastAsia="Calibri" w:hAnsi="Calibri"/>
          <w:b/>
          <w:bCs/>
          <w:color w:val="102B3F"/>
          <w:sz w:val="26"/>
          <w:szCs w:val="26"/>
        </w:rPr>
        <w:t xml:space="preserve">7. NO ADMISSION; VOLUNTARY AND INFORMED AGREEMENT</w:t>
      </w:r>
    </w:p>
    <w:p>
      <w:pPr>
        <w:keepLines/>
        <w:spacing w:after="120" w:line="264"/>
        <w:jc w:val="both"/>
      </w:pPr>
      <w:r>
        <w:rPr>
          <w:rFonts w:ascii="Calibri" w:cs="Calibri" w:eastAsia="Calibri" w:hAnsi="Calibri"/>
          <w:sz w:val="22"/>
          <w:szCs w:val="22"/>
        </w:rPr>
        <w:t xml:space="preserve">This compromise and orderly exit do not constitute an admission of liability, fault, breach, damages, or the legal merit of a disputed position, except for an express payment or performance obligation undertaken here.</w:t>
      </w:r>
    </w:p>
    <w:p>
      <w:pPr>
        <w:keepLines/>
        <w:spacing w:after="120" w:line="264"/>
        <w:jc w:val="both"/>
      </w:pPr>
      <w:r>
        <w:rPr>
          <w:rFonts w:ascii="Calibri" w:cs="Calibri" w:eastAsia="Calibri" w:hAnsi="Calibri"/>
          <w:sz w:val="22"/>
          <w:szCs w:val="22"/>
        </w:rPr>
        <w:t xml:space="preserve">Each Party states that it reviewed the complete final instrument, understood its effect, disclosed the known contract claims and amounts material to its consent, had an opportunity for independent legal and tax advice, and signs voluntarily without fraud, intimidation, undue influence, or an undisclosed side promise.</w:t>
      </w:r>
    </w:p>
    <w:p>
      <w:pPr>
        <w:pStyle w:val="Heading2"/>
        <w:keepNext/>
        <w:spacing w:after="120" w:before="240"/>
      </w:pPr>
      <w:r>
        <w:rPr>
          <w:rFonts w:ascii="Calibri" w:cs="Calibri" w:eastAsia="Calibri" w:hAnsi="Calibri"/>
          <w:b/>
          <w:bCs/>
          <w:color w:val="102B3F"/>
          <w:sz w:val="26"/>
          <w:szCs w:val="26"/>
        </w:rPr>
        <w:t xml:space="preserve">8. DISPUTES, PROCEEDINGS, AND ENFORCEMENT</w:t>
      </w:r>
    </w:p>
    <w:p>
      <w:pPr>
        <w:keepLines/>
        <w:spacing w:after="120" w:line="264"/>
        <w:jc w:val="both"/>
      </w:pPr>
      <w:r>
        <w:rPr>
          <w:rFonts w:ascii="Calibri" w:cs="Calibri" w:eastAsia="Calibri" w:hAnsi="Calibri"/>
          <w:sz w:val="22"/>
          <w:szCs w:val="22"/>
        </w:rPr>
        <w:t xml:space="preserve">The Parties identify no written claim, arbitration, court case, or final judgment requiring a separate filing, approval, satisfaction, or dismissal.</w:t>
      </w:r>
    </w:p>
    <w:p>
      <w:pPr>
        <w:keepLines/>
        <w:spacing w:after="120" w:line="264"/>
        <w:jc w:val="both"/>
      </w:pPr>
      <w:r>
        <w:rPr>
          <w:rFonts w:ascii="Calibri" w:cs="Calibri" w:eastAsia="Calibri" w:hAnsi="Calibri"/>
          <w:sz w:val="22"/>
          <w:szCs w:val="22"/>
        </w:rPr>
        <w:t xml:space="preserve">This Termination Agreement is governed by Philippine law. Any action arising from or relating to it shall be filed exclusively in the proper courts of Makati City, to the exclusion of all other courts, without prejudice to barangay conciliation where the law requires it.</w:t>
      </w:r>
    </w:p>
    <w:p>
      <w:pPr>
        <w:keepLines/>
        <w:spacing w:after="120" w:line="264"/>
        <w:jc w:val="both"/>
      </w:pPr>
      <w:r>
        <w:rPr>
          <w:rFonts w:ascii="Calibri" w:cs="Calibri" w:eastAsia="Calibri" w:hAnsi="Calibri"/>
          <w:sz w:val="22"/>
          <w:szCs w:val="22"/>
        </w:rPr>
        <w:t xml:space="preserve">A breach of this Termination Agreement gives rise only to remedies available under its terms and applicable law. No Party may use self-help, retain property without authority, disable another person's systems, misrepresent a tribunal disposition, or interfere with evidence.</w:t>
      </w:r>
    </w:p>
    <w:p>
      <w:pPr>
        <w:pStyle w:val="Heading2"/>
        <w:keepNext/>
        <w:spacing w:after="120" w:before="240"/>
      </w:pPr>
      <w:r>
        <w:rPr>
          <w:rFonts w:ascii="Calibri" w:cs="Calibri" w:eastAsia="Calibri" w:hAnsi="Calibri"/>
          <w:b/>
          <w:bCs/>
          <w:color w:val="102B3F"/>
          <w:sz w:val="26"/>
          <w:szCs w:val="26"/>
        </w:rPr>
        <w:t xml:space="preserve">9. GUARANTY, SECURITY, THIRD-PARTY RIGHTS, AND APPROVALS</w:t>
      </w:r>
    </w:p>
    <w:p>
      <w:pPr>
        <w:keepLines/>
        <w:spacing w:after="120" w:line="264"/>
        <w:jc w:val="both"/>
      </w:pPr>
      <w:r>
        <w:rPr>
          <w:rFonts w:ascii="Calibri" w:cs="Calibri" w:eastAsia="Calibri" w:hAnsi="Calibri"/>
          <w:sz w:val="22"/>
          <w:szCs w:val="22"/>
        </w:rPr>
        <w:t xml:space="preserve">The Parties identified no guaranty, suretyship, mortgage, pledge, security agreement, registry notice, or other accessory obligation requiring separate treatment.</w:t>
      </w:r>
    </w:p>
    <w:p>
      <w:pPr>
        <w:keepLines/>
        <w:spacing w:after="120" w:line="264"/>
        <w:jc w:val="both"/>
      </w:pPr>
      <w:r>
        <w:rPr>
          <w:rFonts w:ascii="Calibri" w:cs="Calibri" w:eastAsia="Calibri" w:hAnsi="Calibri"/>
          <w:sz w:val="22"/>
          <w:szCs w:val="22"/>
        </w:rPr>
        <w:t xml:space="preserve">The Parties identified no separate third-party approval beyond their verified authority and the requirements preserved in the Original Agreement and applicable law.</w:t>
      </w:r>
    </w:p>
    <w:p>
      <w:pPr>
        <w:keepLines/>
        <w:spacing w:after="120" w:line="264"/>
        <w:jc w:val="both"/>
      </w:pPr>
      <w:r>
        <w:rPr>
          <w:rFonts w:ascii="Calibri" w:cs="Calibri" w:eastAsia="Calibri" w:hAnsi="Calibri"/>
          <w:sz w:val="22"/>
          <w:szCs w:val="22"/>
        </w:rPr>
        <w:t xml:space="preserve">This Termination Agreement binds only its Parties and permitted successors. It does not release, prejudice, or impose a duty on a non-signing third person, and it does not defeat a creditor, owner, principal, guarantor, secured party, regulator, or beneficiary with a legally recognized right.</w:t>
      </w:r>
    </w:p>
    <w:p>
      <w:pPr>
        <w:pStyle w:val="Heading2"/>
        <w:keepNext/>
        <w:spacing w:after="120" w:before="240"/>
      </w:pPr>
      <w:r>
        <w:rPr>
          <w:rFonts w:ascii="Calibri" w:cs="Calibri" w:eastAsia="Calibri" w:hAnsi="Calibri"/>
          <w:b/>
          <w:bCs/>
          <w:color w:val="102B3F"/>
          <w:sz w:val="26"/>
          <w:szCs w:val="26"/>
        </w:rPr>
        <w:t xml:space="preserve">10. COMPLETE RECORD; INTERPRETATION; SEVERABILITY</w:t>
      </w:r>
    </w:p>
    <w:p>
      <w:pPr>
        <w:keepLines/>
        <w:spacing w:after="120" w:line="264"/>
        <w:jc w:val="both"/>
      </w:pPr>
      <w:r>
        <w:rPr>
          <w:rFonts w:ascii="Calibri" w:cs="Calibri" w:eastAsia="Calibri" w:hAnsi="Calibri"/>
          <w:sz w:val="22"/>
          <w:szCs w:val="22"/>
        </w:rPr>
        <w:t xml:space="preserve">This Termination Agreement, its signed schedules, the Original Agreement, and disclosed amendments form the controlled record. This instrument supersedes prior discussions only about the termination and settlement stated here; it does not silently rewrite completed transactions or unrelated rights.</w:t>
      </w:r>
    </w:p>
    <w:p>
      <w:pPr>
        <w:keepLines/>
        <w:spacing w:after="120" w:line="264"/>
        <w:jc w:val="both"/>
      </w:pPr>
      <w:r>
        <w:rPr>
          <w:rFonts w:ascii="Calibri" w:cs="Calibri" w:eastAsia="Calibri" w:hAnsi="Calibri"/>
          <w:sz w:val="22"/>
          <w:szCs w:val="22"/>
        </w:rPr>
        <w:t xml:space="preserve">A waiver must be specific and written. Delay, silence, partial performance, a draft, or an operational accommodation is not a further waiver or amendment. If a provision is unenforceable, it shall be limited only to the minimum lawful extent; the remainder continues if consistent with the Parties' lawful purpose.</w:t>
      </w:r>
    </w:p>
    <w:p>
      <w:pPr>
        <w:pStyle w:val="Heading2"/>
        <w:keepNext/>
        <w:spacing w:after="120" w:before="240"/>
      </w:pPr>
      <w:r>
        <w:rPr>
          <w:rFonts w:ascii="Calibri" w:cs="Calibri" w:eastAsia="Calibri" w:hAnsi="Calibri"/>
          <w:b/>
          <w:bCs/>
          <w:color w:val="102B3F"/>
          <w:sz w:val="26"/>
          <w:szCs w:val="26"/>
        </w:rPr>
        <w:t xml:space="preserve">11. SIGNATURES, COPIES, AND FORM</w:t>
      </w:r>
    </w:p>
    <w:p>
      <w:pPr>
        <w:keepLines/>
        <w:spacing w:after="120" w:line="264"/>
        <w:jc w:val="both"/>
      </w:pPr>
      <w:r>
        <w:rPr>
          <w:rFonts w:ascii="Calibri" w:cs="Calibri" w:eastAsia="Calibri" w:hAnsi="Calibri"/>
          <w:sz w:val="22"/>
          <w:szCs w:val="22"/>
        </w:rPr>
        <w:t xml:space="preserve">The Parties shall sign 2 identical wet-ink originals or complete counterparts, each including every schedule and without unfilled operative blanks.</w:t>
      </w:r>
    </w:p>
    <w:p>
      <w:pPr>
        <w:keepLines/>
        <w:spacing w:after="120" w:line="264"/>
        <w:jc w:val="both"/>
      </w:pPr>
      <w:r>
        <w:rPr>
          <w:rFonts w:ascii="Calibri" w:cs="Calibri" w:eastAsia="Calibri" w:hAnsi="Calibri"/>
          <w:sz w:val="22"/>
          <w:szCs w:val="22"/>
        </w:rPr>
        <w:t xml:space="preserve">The Parties select a signed private instrument only after confirming that no mandatory public-document, notarial, filing, registration, or third-party form applies.</w:t>
      </w:r>
    </w:p>
    <w:p>
      <w:pPr>
        <w:keepLines/>
        <w:spacing w:after="120" w:line="264"/>
        <w:jc w:val="both"/>
      </w:pPr>
      <w:r>
        <w:rPr>
          <w:rFonts w:ascii="Calibri" w:cs="Calibri" w:eastAsia="Calibri" w:hAnsi="Calibri"/>
          <w:sz w:val="22"/>
          <w:szCs w:val="22"/>
        </w:rPr>
        <w:t xml:space="preserve">Each Party shall receive and retain the complete signed instrument and attachments together with identity, authority, consent, payment, return, handover, delivery, and filing evidence.</w:t>
      </w:r>
    </w:p>
    <w:p>
      <w:pPr>
        <w:keepNext/>
        <w:spacing w:after="260" w:before="360"/>
      </w:pPr>
      <w:r>
        <w:rPr>
          <w:rFonts w:ascii="Calibri" w:cs="Calibri" w:eastAsia="Calibri" w:hAnsi="Calibri"/>
          <w:b/>
          <w:bCs/>
          <w:sz w:val="22"/>
          <w:szCs w:val="22"/>
        </w:rPr>
        <w:t xml:space="preserve">IN WITNESS WHEREOF, the Parties execute this complete Termination Agreement through their duly authorized signatories on the dates stated below.</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PARTY A</w:t>
            </w:r>
          </w:p>
          <w:p>
            <w:pPr>
              <w:spacing w:after="120"/>
            </w:pPr>
            <w:r>
              <w:rPr>
                <w:rFonts w:ascii="Calibri" w:cs="Calibri" w:eastAsia="Calibri" w:hAnsi="Calibri"/>
                <w:sz w:val="22"/>
                <w:szCs w:val="22"/>
              </w:rPr>
              <w:t xml:space="preserve">Bayanihan Retail Corporation</w:t>
            </w:r>
          </w:p>
          <w:p>
            <w:pPr>
              <w:spacing w:after="120"/>
            </w:pPr>
            <w:r>
              <w:rPr>
                <w:rFonts w:ascii="Calibri" w:cs="Calibri" w:eastAsia="Calibri" w:hAnsi="Calibri"/>
                <w:sz w:val="22"/>
                <w:szCs w:val="22"/>
              </w:rPr>
              <w:t xml:space="preserve">corporation · By: Maria L. Santos, President</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PARTY B</w:t>
            </w:r>
          </w:p>
          <w:p>
            <w:pPr>
              <w:spacing w:after="120"/>
            </w:pPr>
            <w:r>
              <w:rPr>
                <w:rFonts w:ascii="Calibri" w:cs="Calibri" w:eastAsia="Calibri" w:hAnsi="Calibri"/>
                <w:sz w:val="22"/>
                <w:szCs w:val="22"/>
              </w:rPr>
              <w:t xml:space="preserve">Juan D. Reyes</w:t>
            </w:r>
          </w:p>
          <w:p>
            <w:pPr>
              <w:spacing w:after="120"/>
            </w:pPr>
            <w:r>
              <w:rPr>
                <w:rFonts w:ascii="Calibri" w:cs="Calibri" w:eastAsia="Calibri" w:hAnsi="Calibri"/>
                <w:sz w:val="22"/>
                <w:szCs w:val="22"/>
              </w:rPr>
              <w:t xml:space="preserve">Individual party</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Attach and reconcile the complete Original Agreement, every amendment, schedule, side letter, change order, acceptance, invoice, notice, and dispute record.</w:t>
      </w:r>
    </w:p>
    <w:p>
      <w:pPr>
        <w:pStyle w:val="ListParagraph"/>
        <w:keepNext/>
        <w:numPr>
          <w:ilvl w:val="0"/>
          <w:numId w:val="1"/>
        </w:numPr>
        <w:spacing w:after="120" w:line="264"/>
      </w:pPr>
      <w:r>
        <w:rPr>
          <w:rFonts w:ascii="Calibri" w:cs="Calibri" w:eastAsia="Calibri" w:hAnsi="Calibri"/>
          <w:sz w:val="22"/>
          <w:szCs w:val="22"/>
        </w:rPr>
        <w:t xml:space="preserve">Verify exact legal identities, registration status, signer authority, board/partner/owner approval, and the consent of every affected original party.</w:t>
      </w:r>
    </w:p>
    <w:p>
      <w:pPr>
        <w:pStyle w:val="ListParagraph"/>
        <w:keepNext/>
        <w:numPr>
          <w:ilvl w:val="0"/>
          <w:numId w:val="1"/>
        </w:numPr>
        <w:spacing w:after="120" w:line="264"/>
      </w:pPr>
      <w:r>
        <w:rPr>
          <w:rFonts w:ascii="Calibri" w:cs="Calibri" w:eastAsia="Calibri" w:hAnsi="Calibri"/>
          <w:sz w:val="22"/>
          <w:szCs w:val="22"/>
        </w:rPr>
        <w:t xml:space="preserve">Use prospective-termination language consistently; do not call the transaction rescission if the parties are not restoring what they received.</w:t>
      </w:r>
    </w:p>
    <w:p>
      <w:pPr>
        <w:pStyle w:val="ListParagraph"/>
        <w:keepNext/>
        <w:numPr>
          <w:ilvl w:val="0"/>
          <w:numId w:val="1"/>
        </w:numPr>
        <w:spacing w:after="120" w:line="264"/>
      </w:pPr>
      <w:r>
        <w:rPr>
          <w:rFonts w:ascii="Calibri" w:cs="Calibri" w:eastAsia="Calibri" w:hAnsi="Calibri"/>
          <w:sz w:val="22"/>
          <w:szCs w:val="22"/>
        </w:rPr>
        <w:t xml:space="preserve">Reconcile accepted work, unfinished work, final deliverables, deposits, credits, withholding, invoices, taxes, and disputed amounts against source records before signing.</w:t>
      </w:r>
    </w:p>
    <w:p>
      <w:pPr>
        <w:pStyle w:val="ListParagraph"/>
        <w:keepNext/>
        <w:numPr>
          <w:ilvl w:val="0"/>
          <w:numId w:val="1"/>
        </w:numPr>
        <w:spacing w:after="120" w:line="264"/>
      </w:pPr>
      <w:r>
        <w:rPr>
          <w:rFonts w:ascii="Calibri" w:cs="Calibri" w:eastAsia="Calibri" w:hAnsi="Calibri"/>
          <w:sz w:val="22"/>
          <w:szCs w:val="22"/>
        </w:rPr>
        <w:t xml:space="preserve">Tie the release to defined claims, facts, parties, consideration, and completed performance; remove universal language that reaches unrelated, future, public, non-waivable, or third-party rights.</w:t>
      </w:r>
    </w:p>
    <w:p>
      <w:pPr>
        <w:pStyle w:val="ListParagraph"/>
        <w:keepNext/>
        <w:numPr>
          <w:ilvl w:val="0"/>
          <w:numId w:val="1"/>
        </w:numPr>
        <w:spacing w:after="120" w:line="264"/>
      </w:pPr>
      <w:r>
        <w:rPr>
          <w:rFonts w:ascii="Calibri" w:cs="Calibri" w:eastAsia="Calibri" w:hAnsi="Calibri"/>
          <w:sz w:val="22"/>
          <w:szCs w:val="22"/>
        </w:rPr>
        <w:t xml:space="preserve">Recheck legal, finance, procurement, operations, and correspondence records for a demand, arbitration notice, complaint, judgment, or regulatory matter.</w:t>
      </w:r>
    </w:p>
    <w:p>
      <w:pPr>
        <w:pStyle w:val="ListParagraph"/>
        <w:keepNext/>
        <w:numPr>
          <w:ilvl w:val="0"/>
          <w:numId w:val="1"/>
        </w:numPr>
        <w:spacing w:after="120" w:line="264"/>
      </w:pPr>
      <w:r>
        <w:rPr>
          <w:rFonts w:ascii="Calibri" w:cs="Calibri" w:eastAsia="Calibri" w:hAnsi="Calibri"/>
          <w:sz w:val="22"/>
          <w:szCs w:val="22"/>
        </w:rPr>
        <w:t xml:space="preserve">Recheck for guaranties, suretyships, mortgages, pledges, PPSR notices, liens, escrow, retention-of-title, or third-party payment support.</w:t>
      </w:r>
    </w:p>
    <w:p>
      <w:pPr>
        <w:pStyle w:val="ListParagraph"/>
        <w:keepNext/>
        <w:numPr>
          <w:ilvl w:val="0"/>
          <w:numId w:val="1"/>
        </w:numPr>
        <w:spacing w:after="120" w:line="264"/>
      </w:pPr>
      <w:r>
        <w:rPr>
          <w:rFonts w:ascii="Calibri" w:cs="Calibri" w:eastAsia="Calibri" w:hAnsi="Calibri"/>
          <w:sz w:val="22"/>
          <w:szCs w:val="22"/>
        </w:rPr>
        <w:t xml:space="preserve">Complete the agreed return, deletion, legal-retention, backup, credential, access, audit-log, and certification controls for confidential information and personal data.</w:t>
      </w:r>
    </w:p>
    <w:p>
      <w:pPr>
        <w:pStyle w:val="ListParagraph"/>
        <w:keepNext/>
        <w:numPr>
          <w:ilvl w:val="0"/>
          <w:numId w:val="1"/>
        </w:numPr>
        <w:spacing w:after="120" w:line="264"/>
      </w:pPr>
      <w:r>
        <w:rPr>
          <w:rFonts w:ascii="Calibri" w:cs="Calibri" w:eastAsia="Calibri" w:hAnsi="Calibri"/>
          <w:sz w:val="22"/>
          <w:szCs w:val="22"/>
        </w:rPr>
        <w:t xml:space="preserve">Prepare 2 identical complete copies and do not sign an incomplete instrument or detach a schedule.</w:t>
      </w:r>
    </w:p>
    <w:p>
      <w:pPr>
        <w:pStyle w:val="ListParagraph"/>
        <w:keepNext/>
        <w:numPr>
          <w:ilvl w:val="0"/>
          <w:numId w:val="1"/>
        </w:numPr>
        <w:spacing w:after="120" w:line="264"/>
      </w:pPr>
      <w:r>
        <w:rPr>
          <w:rFonts w:ascii="Calibri" w:cs="Calibri" w:eastAsia="Calibri" w:hAnsi="Calibri"/>
          <w:sz w:val="22"/>
          <w:szCs w:val="22"/>
        </w:rPr>
        <w:t xml:space="preserve">Confirm whether the Original Agreement, transaction, recipient, law, registry, or third party requires acknowledgment, witnesses, a public document, filing, registration, tax payment, or formal notice despite the selected route.</w:t>
      </w:r>
    </w:p>
    <w:p>
      <w:pPr>
        <w:pStyle w:val="ListParagraph"/>
        <w:keepNext w:val="false"/>
        <w:numPr>
          <w:ilvl w:val="0"/>
          <w:numId w:val="1"/>
        </w:numPr>
        <w:spacing w:after="120" w:line="264"/>
      </w:pPr>
      <w:r>
        <w:rPr>
          <w:rFonts w:ascii="Calibri" w:cs="Calibri" w:eastAsia="Calibri" w:hAnsi="Calibri"/>
          <w:sz w:val="22"/>
          <w:szCs w:val="22"/>
        </w:rPr>
        <w:t xml:space="preserve">Independent Philippine contract-lawyer review is pending. Escalate employment, consumer, real-property, secured, corporate-control, government, regulated, disputed, judgment, rescission, insolvency, and material release routes before execution.</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2026-08-31 onward, subject to the recorded review cycle | Engineering draft · independent Philippine contract-lawyer review pending | Last legal check 2026-10-01 | Next review due 2026-11-30</w:t>
      </w:r>
    </w:p>
    <w:p>
      <w:pPr>
        <w:keepNext/>
        <w:spacing w:after="60" w:before="100"/>
      </w:pPr>
      <w:r>
        <w:rPr>
          <w:rFonts w:ascii="Calibri" w:cs="Calibri" w:eastAsia="Calibri" w:hAnsi="Calibri"/>
          <w:b/>
          <w:bCs/>
          <w:sz w:val="18"/>
          <w:szCs w:val="18"/>
        </w:rPr>
        <w:t xml:space="preserve">Republic Act No. 386 — Civil Code of the Philippines - Articles 6, 1159, 1170–1172, 1191, 1231, 1291–1308, 1311, 1356–1358, 1385, 1403, and 2028–2041 — waiver limits, contractual force, breach, prospective termination versus rescission, extinguishment, novation, autonomy, third-party rights, form, restitution, compromise, scope, and vices of consent (checked 2026-08-31)</w:t>
      </w:r>
    </w:p>
    <w:p>
      <w:pPr>
        <w:spacing w:after="120"/>
      </w:pPr>
      <w:hyperlink w:history="1" r:id="rIdft6tnbr6k-qfpc4zuyia1">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Camp John Hay Development Corp. v. Charter Chemical and Coating Corp., G.R. No. 198849 - Article 1191 resolution for substantial breach; rescission unmaking the contract rather than merely ending future duties; mutual restitution consequences (checked 2026-08-31)</w:t>
      </w:r>
    </w:p>
    <w:p>
      <w:pPr>
        <w:spacing w:after="120"/>
      </w:pPr>
      <w:hyperlink w:history="1" r:id="rIdyptdm9ipozfulltsigl-q">
        <w:r>
          <w:rPr>
            <w:rFonts w:ascii="Calibri" w:cs="Calibri" w:eastAsia="Calibri" w:hAnsi="Calibri"/>
            <w:color w:val="315B75"/>
            <w:sz w:val="17"/>
            <w:szCs w:val="17"/>
            <w:u w:val="single"/>
          </w:rPr>
          <w:t xml:space="preserve">https://lawphil.net/judjuris/juri2019/aug2019/pdf/gr_198849_2019.pdf</w:t>
        </w:r>
      </w:hyperlink>
    </w:p>
    <w:p>
      <w:pPr>
        <w:keepNext/>
        <w:spacing w:after="60" w:before="100"/>
      </w:pPr>
      <w:r>
        <w:rPr>
          <w:rFonts w:ascii="Calibri" w:cs="Calibri" w:eastAsia="Calibri" w:hAnsi="Calibri"/>
          <w:b/>
          <w:bCs/>
          <w:sz w:val="18"/>
          <w:szCs w:val="18"/>
        </w:rPr>
        <w:t xml:space="preserve">Maestrado v. Court of Appeals, G.R. Nos. 133345 &amp; 133324, March 9, 2000 - A waiver requires knowledge of the right and a clearly and convincingly shown intent to relinquish it; contractual waiver remains subject to law, morals, public order, and public policy (checked 2026-10-01)</w:t>
      </w:r>
    </w:p>
    <w:p>
      <w:pPr>
        <w:spacing w:after="120"/>
      </w:pPr>
      <w:hyperlink w:history="1" r:id="rId-wxxy_vtfccvho1k1uxf7">
        <w:r>
          <w:rPr>
            <w:rFonts w:ascii="Calibri" w:cs="Calibri" w:eastAsia="Calibri" w:hAnsi="Calibri"/>
            <w:color w:val="315B75"/>
            <w:sz w:val="17"/>
            <w:szCs w:val="17"/>
            <w:u w:val="single"/>
          </w:rPr>
          <w:t xml:space="preserve">https://lawphil.net/judjuris/juri2000/mar2000/gr_133345_2000.html</w:t>
        </w:r>
      </w:hyperlink>
    </w:p>
    <w:p>
      <w:pPr>
        <w:keepNext/>
        <w:spacing w:after="60" w:before="100"/>
      </w:pPr>
      <w:r>
        <w:rPr>
          <w:rFonts w:ascii="Calibri" w:cs="Calibri" w:eastAsia="Calibri" w:hAnsi="Calibri"/>
          <w:b/>
          <w:bCs/>
          <w:sz w:val="18"/>
          <w:szCs w:val="18"/>
        </w:rPr>
        <w:t xml:space="preserve">Republic Act No. 8792 — Electronic Commerce Act of 2000 - Sections 6–9 and 16–18 — electronic documents, writing and original requirements, reliable electronic signatures, attribution, integrity, formation, and retention (checked 2026-08-31)</w:t>
      </w:r>
    </w:p>
    <w:p>
      <w:pPr>
        <w:spacing w:after="120"/>
      </w:pPr>
      <w:hyperlink w:history="1" r:id="rIdjtbuoget_rglhqyfgq5hi">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2004 Rules on Notarial Practice, A.M. No. 02-8-13-SC, as amended by the Supreme Court Resolution of March 4, 2025 - Rule II, Sec. 1 (acknowledgment, including the representative's authority to sign in that capacity); Rule VIII, Sec. 2 (contents of the notarial certificate); register and prohibited acts (checked 2026-10-01)</w:t>
      </w:r>
    </w:p>
    <w:p>
      <w:pPr>
        <w:spacing w:after="120"/>
      </w:pPr>
      <w:hyperlink w:history="1" r:id="rId3l1zfuvlquiee94sc6qbw">
        <w:r>
          <w:rPr>
            <w:rFonts w:ascii="Calibri" w:cs="Calibri" w:eastAsia="Calibri" w:hAnsi="Calibri"/>
            <w:color w:val="315B75"/>
            <w:sz w:val="17"/>
            <w:szCs w:val="17"/>
            <w:u w:val="single"/>
          </w:rPr>
          <w:t xml:space="preserve">https://sc.judiciary.gov.ph/wp-content/uploads/2025/06/Amended-2004-Notarial-Rules.pdf</w:t>
        </w:r>
      </w:hyperlink>
    </w:p>
    <w:p>
      <w:pPr>
        <w:keepNext/>
        <w:spacing w:after="60" w:before="100"/>
      </w:pPr>
      <w:r>
        <w:rPr>
          <w:rFonts w:ascii="Calibri" w:cs="Calibri" w:eastAsia="Calibri" w:hAnsi="Calibri"/>
          <w:b/>
          <w:bCs/>
          <w:sz w:val="18"/>
          <w:szCs w:val="18"/>
        </w:rPr>
        <w:t xml:space="preserve">Excellent Quality Apparel, Inc. v. Win Multi Rich Builders, Inc., G.R. No. 175048, February 10, 2009 - A sole proprietorship has no juridical personality separate from its owner; the owner is the contracting party (checked 2026-10-01)</w:t>
      </w:r>
    </w:p>
    <w:p>
      <w:pPr>
        <w:spacing w:after="120"/>
      </w:pPr>
      <w:hyperlink w:history="1" r:id="rId5csajgqqkbklphon4nihq">
        <w:r>
          <w:rPr>
            <w:rFonts w:ascii="Calibri" w:cs="Calibri" w:eastAsia="Calibri" w:hAnsi="Calibri"/>
            <w:color w:val="315B75"/>
            <w:sz w:val="17"/>
            <w:szCs w:val="17"/>
            <w:u w:val="single"/>
          </w:rPr>
          <w:t xml:space="preserve">https://lawphil.net/judjuris/juri2009/feb2009/gr_175048_2009.html</w:t>
        </w:r>
      </w:hyperlink>
    </w:p>
    <w:p>
      <w:pPr>
        <w:keepNext/>
        <w:spacing w:after="60" w:before="100"/>
      </w:pPr>
      <w:r>
        <w:rPr>
          <w:rFonts w:ascii="Calibri" w:cs="Calibri" w:eastAsia="Calibri" w:hAnsi="Calibri"/>
          <w:b/>
          <w:bCs/>
          <w:sz w:val="18"/>
          <w:szCs w:val="18"/>
        </w:rPr>
        <w:t xml:space="preserve">Rules of Court, Rule 4 (Venue of Actions); Sps. Lantin v. Lantion, G.R. No. 160053, August 28, 2006 - Rule 4, Sec. 4(b): parties may agree in writing on an exclusive venue; without restrictive words a venue stipulation is only an additional forum (checked 2026-10-01)</w:t>
      </w:r>
    </w:p>
    <w:p>
      <w:pPr>
        <w:spacing w:after="120"/>
      </w:pPr>
      <w:hyperlink w:history="1" r:id="rIdtbdtgnuul0v-mvu2v0js2">
        <w:r>
          <w:rPr>
            <w:rFonts w:ascii="Calibri" w:cs="Calibri" w:eastAsia="Calibri" w:hAnsi="Calibri"/>
            <w:color w:val="315B75"/>
            <w:sz w:val="17"/>
            <w:szCs w:val="17"/>
            <w:u w:val="single"/>
          </w:rPr>
          <w:t xml:space="preserve">https://lawphil.net/judjuris/juri2006/aug2006/gr_160053_2006.html</w:t>
        </w:r>
      </w:hyperlink>
    </w:p>
    <w:p>
      <w:pPr>
        <w:keepNext/>
        <w:spacing w:after="60" w:before="100"/>
      </w:pPr>
      <w:r>
        <w:rPr>
          <w:rFonts w:ascii="Calibri" w:cs="Calibri" w:eastAsia="Calibri" w:hAnsi="Calibri"/>
          <w:b/>
          <w:bCs/>
          <w:sz w:val="18"/>
          <w:szCs w:val="18"/>
        </w:rPr>
        <w:t xml:space="preserve">Republic Act No. 10173 — Data Privacy Act of 2012 - Lawful processing, transparency, proportionality, security, accountability, retention, data-subject rights, and processor/controller responsibilities during exit and deletion (checked 2026-08-31)</w:t>
      </w:r>
    </w:p>
    <w:p>
      <w:pPr>
        <w:spacing w:after="120"/>
      </w:pPr>
      <w:hyperlink w:history="1" r:id="rId7lf9ddqoyb0u4dazbsm1r">
        <w:r>
          <w:rPr>
            <w:rFonts w:ascii="Calibri" w:cs="Calibri" w:eastAsia="Calibri" w:hAnsi="Calibri"/>
            <w:color w:val="315B75"/>
            <w:sz w:val="17"/>
            <w:szCs w:val="17"/>
            <w:u w:val="single"/>
          </w:rPr>
          <w:t xml:space="preserve">https://privacy.gov.ph/data-privacy-act/</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6tnbr6k-qfpc4zuyia1" Type="http://schemas.openxmlformats.org/officeDocument/2006/relationships/hyperlink" Target="https://lawphil.net/statutes/repacts/ra1949/ra_386_1949.html" TargetMode="External"/><Relationship Id="rIdyptdm9ipozfulltsigl-q" Type="http://schemas.openxmlformats.org/officeDocument/2006/relationships/hyperlink" Target="https://lawphil.net/judjuris/juri2019/aug2019/pdf/gr_198849_2019.pdf" TargetMode="External"/><Relationship Id="rId-wxxy_vtfccvho1k1uxf7" Type="http://schemas.openxmlformats.org/officeDocument/2006/relationships/hyperlink" Target="https://lawphil.net/judjuris/juri2000/mar2000/gr_133345_2000.html" TargetMode="External"/><Relationship Id="rIdjtbuoget_rglhqyfgq5hi" Type="http://schemas.openxmlformats.org/officeDocument/2006/relationships/hyperlink" Target="https://lawphil.net/statutes/repacts/ra2000/ra_8792_2000.html" TargetMode="External"/><Relationship Id="rId3l1zfuvlquiee94sc6qbw" Type="http://schemas.openxmlformats.org/officeDocument/2006/relationships/hyperlink" Target="https://sc.judiciary.gov.ph/wp-content/uploads/2025/06/Amended-2004-Notarial-Rules.pdf" TargetMode="External"/><Relationship Id="rId5csajgqqkbklphon4nihq" Type="http://schemas.openxmlformats.org/officeDocument/2006/relationships/hyperlink" Target="https://lawphil.net/judjuris/juri2009/feb2009/gr_175048_2009.html" TargetMode="External"/><Relationship Id="rIdtbdtgnuul0v-mvu2v0js2" Type="http://schemas.openxmlformats.org/officeDocument/2006/relationships/hyperlink" Target="https://lawphil.net/judjuris/juri2006/aug2006/gr_160053_2006.html" TargetMode="External"/><Relationship Id="rId7lf9ddqoyb0u4dazbsm1r" Type="http://schemas.openxmlformats.org/officeDocument/2006/relationships/hyperlink" Target="https://privacy.gov.ph/data-privacy-act/"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CONTRACT TERMINATION AND LIMITED RELEASE AGREEMENT</dc:title>
  <dc:creator>LAW.PH</dc:creator>
  <dc:description>Free sample of the Mutual Contract Termination and Limited Release from LAW.PH, with fictional details</dc:description>
  <cp:lastModifiedBy>Un-named</cp:lastModifiedBy>
  <cp:revision>1</cp:revision>
  <dcterms:created xsi:type="dcterms:W3CDTF">2026-10-02T05:29:58.683Z</dcterms:created>
  <dcterms:modified xsi:type="dcterms:W3CDTF">2026-10-02T05:29:58.683Z</dcterms:modified>
</cp:coreProperties>
</file>

<file path=docProps/custom.xml><?xml version="1.0" encoding="utf-8"?>
<Properties xmlns="http://schemas.openxmlformats.org/officeDocument/2006/custom-properties" xmlns:vt="http://schemas.openxmlformats.org/officeDocument/2006/docPropsVTypes"/>
</file>