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CONTRACT TO SELL</w:t>
      </w:r>
    </w:p>
    <w:p>
      <w:pPr>
        <w:spacing w:after="160"/>
        <w:jc w:val="center"/>
      </w:pPr>
      <w:r>
        <w:rPr>
          <w:rFonts w:ascii="Calibri" w:cs="Calibri" w:eastAsia="Calibri" w:hAnsi="Calibri"/>
          <w:color w:val="566674"/>
          <w:sz w:val="18"/>
          <w:szCs w:val="18"/>
        </w:rPr>
        <w:t xml:space="preserve">Real Property · Republic of the Philippines</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real-property lawyer review pending</w:t>
      </w:r>
    </w:p>
    <w:p>
      <w:pPr>
        <w:keepLines/>
        <w:spacing w:after="120" w:line="264"/>
        <w:jc w:val="both"/>
      </w:pPr>
      <w:r>
        <w:rPr>
          <w:rFonts w:ascii="Calibri" w:cs="Calibri" w:eastAsia="Calibri" w:hAnsi="Calibri"/>
          <w:sz w:val="22"/>
          <w:szCs w:val="22"/>
        </w:rPr>
        <w:t xml:space="preserve">This Contract to Sell (the “Agreement”) is made on August 31, 2026 between Maria Elena Santos, of legal age, Filipino, married to Carlos Reyes Santos, with TIN 123-456-789-000, residing at 100 Ayala Avenue, Barangay San Lorenzo, Makati City 1223 (the “Seller”), and Roberto Dela Cruz, of legal age, Filipino, single, with TIN 234-567-890-000, residing at 18 Jupiter Street, Barangay Bel-Air, Makati City 1209 (the “Buyer”). The property forms part of the absolute community property of the Seller and Carlos Reyes Santos, who gives written marital consent to this Contract by signing below (Family Code, Articles 96 and 124).</w:t>
      </w:r>
    </w:p>
    <w:p>
      <w:pPr>
        <w:keepLines/>
        <w:spacing w:after="120" w:line="264"/>
        <w:jc w:val="both"/>
      </w:pPr>
      <w:r>
        <w:rPr>
          <w:rFonts w:ascii="Calibri" w:cs="Calibri" w:eastAsia="Calibri" w:hAnsi="Calibri"/>
          <w:sz w:val="22"/>
          <w:szCs w:val="22"/>
        </w:rPr>
        <w:t xml:space="preserve">The parties intentionally choose a contract to sell. The Seller reserves ownership and is not presently conveying title. The Seller becomes obliged to execute the final deed only after full cleared payment and satisfaction of every express closing condition.</w:t>
      </w:r>
    </w:p>
    <w:p>
      <w:pPr>
        <w:pStyle w:val="Heading2"/>
        <w:keepNext/>
        <w:spacing w:after="120" w:before="240"/>
      </w:pPr>
      <w:r>
        <w:rPr>
          <w:rFonts w:ascii="Calibri" w:cs="Calibri" w:eastAsia="Calibri" w:hAnsi="Calibri"/>
          <w:b/>
          <w:bCs/>
          <w:color w:val="102B3F"/>
          <w:sz w:val="26"/>
          <w:szCs w:val="26"/>
        </w:rPr>
        <w:t xml:space="preserve">1. Property and registered title</w:t>
      </w:r>
    </w:p>
    <w:p>
      <w:pPr>
        <w:keepLines/>
        <w:spacing w:after="120" w:line="264"/>
        <w:jc w:val="both"/>
      </w:pPr>
      <w:r>
        <w:rPr>
          <w:rFonts w:ascii="Calibri" w:cs="Calibri" w:eastAsia="Calibri" w:hAnsi="Calibri"/>
          <w:sz w:val="22"/>
          <w:szCs w:val="22"/>
        </w:rPr>
        <w:t xml:space="preserve">The property is the house and lot at Lot 8, Block 3, Sampaguita Village, Barangay San Antonio, Makati City, covered by TCT No. 006-2024001234, Registry of Deeds of Makati City, registered in the name of Maria Elena Santos, married to Carlos Reyes Santos. Land area: 180 square meters. Floor or unit area: 142.5 square meters. Tax declaration records: Land TD No. D-001-2025-112233; Improvement TD No. D-001-2025-112234.</w:t>
      </w:r>
    </w:p>
    <w:p>
      <w:pPr>
        <w:keepLines/>
        <w:spacing w:after="120" w:line="264"/>
        <w:jc w:val="both"/>
      </w:pPr>
      <w:r>
        <w:rPr>
          <w:rFonts w:ascii="Calibri" w:cs="Calibri" w:eastAsia="Calibri" w:hAnsi="Calibri"/>
          <w:sz w:val="22"/>
          <w:szCs w:val="22"/>
        </w:rPr>
        <w:t xml:space="preserve">Technical description: Lot 8, Block 3, Psd-00-123456, with the complete bearings, distances, tie point, adjoining lots, area, and survey annotations copied in Schedule A exactly from the current certified TCT</w:t>
      </w:r>
    </w:p>
    <w:p>
      <w:pPr>
        <w:keepLines/>
        <w:spacing w:after="120" w:line="264"/>
        <w:jc w:val="both"/>
      </w:pPr>
      <w:r>
        <w:rPr>
          <w:rFonts w:ascii="Calibri" w:cs="Calibri" w:eastAsia="Calibri" w:hAnsi="Calibri"/>
          <w:sz w:val="22"/>
          <w:szCs w:val="22"/>
        </w:rPr>
        <w:t xml:space="preserve">Improvements and inclusions: Two-storey residential house, perimeter wall, gate, fixed cabinetry, installed lighting, plumbing fixtures, split-type air-conditioners listed in Schedule A, and no loose furniture unless separately itemized</w:t>
      </w:r>
    </w:p>
    <w:p>
      <w:pPr>
        <w:pStyle w:val="Heading2"/>
        <w:keepNext/>
        <w:spacing w:after="120" w:before="240"/>
      </w:pPr>
      <w:r>
        <w:rPr>
          <w:rFonts w:ascii="Calibri" w:cs="Calibri" w:eastAsia="Calibri" w:hAnsi="Calibri"/>
          <w:b/>
          <w:bCs/>
          <w:color w:val="102B3F"/>
          <w:sz w:val="26"/>
          <w:szCs w:val="26"/>
        </w:rPr>
        <w:t xml:space="preserve">2. Title, authority, and due diligence record</w:t>
      </w:r>
    </w:p>
    <w:p>
      <w:pPr>
        <w:keepLines/>
        <w:spacing w:after="120" w:line="264"/>
        <w:jc w:val="both"/>
      </w:pPr>
      <w:r>
        <w:rPr>
          <w:rFonts w:ascii="Calibri" w:cs="Calibri" w:eastAsia="Calibri" w:hAnsi="Calibri"/>
          <w:sz w:val="22"/>
          <w:szCs w:val="22"/>
        </w:rPr>
        <w:t xml:space="preserve">The current title and registry search is dated August 28, 2026. Title status: registered clean. No encumbrance requiring a release plan is recorded after the stated current checks.</w:t>
      </w:r>
    </w:p>
    <w:p>
      <w:pPr>
        <w:keepLines/>
        <w:spacing w:after="120" w:line="264"/>
        <w:jc w:val="both"/>
      </w:pPr>
      <w:r>
        <w:rPr>
          <w:rFonts w:ascii="Calibri" w:cs="Calibri" w:eastAsia="Calibri" w:hAnsi="Calibri"/>
          <w:sz w:val="22"/>
          <w:szCs w:val="22"/>
        </w:rPr>
        <w:t xml:space="preserve">Current possession: Occupied only by the Seller and immediate family; no tenant, lessee, caretaker, adverse possessor, or unrecorded occupancy arrangement after the stated inquiry Taxes, dues, and assessments: Real-property taxes paid through 2026; village dues reconciled through August 2026; utilities to be read and settled at turnover; final written clearances remain closing conditions</w:t>
      </w:r>
    </w:p>
    <w:p>
      <w:pPr>
        <w:keepLines/>
        <w:spacing w:after="120" w:line="264"/>
        <w:jc w:val="both"/>
      </w:pPr>
      <w:r>
        <w:rPr>
          <w:rFonts w:ascii="Calibri" w:cs="Calibri" w:eastAsia="Calibri" w:hAnsi="Calibri"/>
          <w:sz w:val="22"/>
          <w:szCs w:val="22"/>
        </w:rPr>
        <w:t xml:space="preserve">Seller authority evidence: Philippine passport, PSA marriage certificate, current certified TCT, owner's duplicate, and spouse conformity will be checked against the originals before signing Required consenting spouse: Carlos Reyes Santos. Buyer eligibility and authority evidence: Roberto Dela Cruz's current Philippine passport and PSA citizenship records will be independently verified before signing; Philippine passport and PSA civil-status record will be checked against originals before signing and again at closing. These records are representations between the parties, not a substitute for a certified-title, registry, boundary, authority, tax, zoning, occupancy, association, or professional investigation.</w:t>
      </w:r>
    </w:p>
    <w:p>
      <w:pPr>
        <w:pStyle w:val="Heading2"/>
        <w:keepNext/>
        <w:spacing w:after="120" w:before="240"/>
      </w:pPr>
      <w:r>
        <w:rPr>
          <w:rFonts w:ascii="Calibri" w:cs="Calibri" w:eastAsia="Calibri" w:hAnsi="Calibri"/>
          <w:b/>
          <w:bCs/>
          <w:color w:val="102B3F"/>
          <w:sz w:val="26"/>
          <w:szCs w:val="26"/>
        </w:rPr>
        <w:t xml:space="preserve">3. Purchase price and initial payment</w:t>
      </w:r>
    </w:p>
    <w:p>
      <w:pPr>
        <w:keepLines/>
        <w:spacing w:after="120" w:line="264"/>
        <w:jc w:val="both"/>
      </w:pPr>
      <w:r>
        <w:rPr>
          <w:rFonts w:ascii="Calibri" w:cs="Calibri" w:eastAsia="Calibri" w:hAnsi="Calibri"/>
          <w:sz w:val="22"/>
          <w:szCs w:val="22"/>
        </w:rPr>
        <w:t xml:space="preserve">Cash purchase price: PHP 6,000,000.00. Initial payment credited to the price: PHP 1,200,000.00. Cash-price balance: PHP 4,800,000.00. Separately disclosed finance charge: PHP 120,000.00. Total scheduled installments: PHP 4,920,000.00.</w:t>
      </w:r>
    </w:p>
    <w:p>
      <w:pPr>
        <w:keepLines/>
        <w:spacing w:after="120" w:line="264"/>
        <w:jc w:val="both"/>
      </w:pPr>
      <w:r>
        <w:rPr>
          <w:rFonts w:ascii="Calibri" w:cs="Calibri" w:eastAsia="Calibri" w:hAnsi="Calibri"/>
          <w:sz w:val="22"/>
          <w:szCs w:val="22"/>
        </w:rPr>
        <w:t xml:space="preserve">Payment channel: Traceable electronic transfer to the independently verified account stated in a signed payment instruction. Receipt process: A dated receipt will identify the agreement, installment number, cleared amount, allocation, and remaining scheduled balance. Every receipt acknowledges only cleared funds, identifies the installment and running balance, and is not a deed, title transfer, or paid-in-full receipt unless the entire account has cleared.</w:t>
      </w:r>
    </w:p>
    <w:p>
      <w:pPr>
        <w:pStyle w:val="Heading2"/>
        <w:keepNext/>
        <w:spacing w:after="120" w:before="240"/>
      </w:pPr>
      <w:r>
        <w:rPr>
          <w:rFonts w:ascii="Calibri" w:cs="Calibri" w:eastAsia="Calibri" w:hAnsi="Calibri"/>
          <w:b/>
          <w:bCs/>
          <w:color w:val="102B3F"/>
          <w:sz w:val="26"/>
          <w:szCs w:val="26"/>
        </w:rPr>
        <w:t xml:space="preserve">4. Installment schedule</w:t>
      </w:r>
    </w:p>
    <w:p>
      <w:pPr>
        <w:keepLines/>
        <w:spacing w:after="120" w:line="264"/>
        <w:jc w:val="both"/>
      </w:pPr>
      <w:r>
        <w:rPr>
          <w:rFonts w:ascii="Calibri" w:cs="Calibri" w:eastAsia="Calibri" w:hAnsi="Calibri"/>
          <w:sz w:val="22"/>
          <w:szCs w:val="22"/>
        </w:rPr>
        <w:t xml:space="preserve">Installment 1: PHP 205,000.00 due September 30, 2026; scheduled balance after payment: PHP 4,715,000.00.</w:t>
      </w:r>
    </w:p>
    <w:p>
      <w:pPr>
        <w:keepLines/>
        <w:spacing w:after="120" w:line="264"/>
        <w:jc w:val="both"/>
      </w:pPr>
      <w:r>
        <w:rPr>
          <w:rFonts w:ascii="Calibri" w:cs="Calibri" w:eastAsia="Calibri" w:hAnsi="Calibri"/>
          <w:sz w:val="22"/>
          <w:szCs w:val="22"/>
        </w:rPr>
        <w:t xml:space="preserve">Installment 2: PHP 205,000.00 due October 30, 2026; scheduled balance after payment: PHP 4,510,000.00.</w:t>
      </w:r>
    </w:p>
    <w:p>
      <w:pPr>
        <w:keepLines/>
        <w:spacing w:after="120" w:line="264"/>
        <w:jc w:val="both"/>
      </w:pPr>
      <w:r>
        <w:rPr>
          <w:rFonts w:ascii="Calibri" w:cs="Calibri" w:eastAsia="Calibri" w:hAnsi="Calibri"/>
          <w:sz w:val="22"/>
          <w:szCs w:val="22"/>
        </w:rPr>
        <w:t xml:space="preserve">Installment 3: PHP 205,000.00 due November 30, 2026; scheduled balance after payment: PHP 4,305,000.00.</w:t>
      </w:r>
    </w:p>
    <w:p>
      <w:pPr>
        <w:keepLines/>
        <w:spacing w:after="120" w:line="264"/>
        <w:jc w:val="both"/>
      </w:pPr>
      <w:r>
        <w:rPr>
          <w:rFonts w:ascii="Calibri" w:cs="Calibri" w:eastAsia="Calibri" w:hAnsi="Calibri"/>
          <w:sz w:val="22"/>
          <w:szCs w:val="22"/>
        </w:rPr>
        <w:t xml:space="preserve">Installment 4: PHP 205,000.00 due December 30, 2026; scheduled balance after payment: PHP 4,100,000.00.</w:t>
      </w:r>
    </w:p>
    <w:p>
      <w:pPr>
        <w:keepLines/>
        <w:spacing w:after="120" w:line="264"/>
        <w:jc w:val="both"/>
      </w:pPr>
      <w:r>
        <w:rPr>
          <w:rFonts w:ascii="Calibri" w:cs="Calibri" w:eastAsia="Calibri" w:hAnsi="Calibri"/>
          <w:sz w:val="22"/>
          <w:szCs w:val="22"/>
        </w:rPr>
        <w:t xml:space="preserve">Installment 5: PHP 205,000.00 due January 30, 2027; scheduled balance after payment: PHP 3,895,000.00.</w:t>
      </w:r>
    </w:p>
    <w:p>
      <w:pPr>
        <w:keepLines/>
        <w:spacing w:after="120" w:line="264"/>
        <w:jc w:val="both"/>
      </w:pPr>
      <w:r>
        <w:rPr>
          <w:rFonts w:ascii="Calibri" w:cs="Calibri" w:eastAsia="Calibri" w:hAnsi="Calibri"/>
          <w:sz w:val="22"/>
          <w:szCs w:val="22"/>
        </w:rPr>
        <w:t xml:space="preserve">Installment 6: PHP 205,000.00 due February 28, 2027; scheduled balance after payment: PHP 3,690,000.00.</w:t>
      </w:r>
    </w:p>
    <w:p>
      <w:pPr>
        <w:keepLines/>
        <w:spacing w:after="120" w:line="264"/>
        <w:jc w:val="both"/>
      </w:pPr>
      <w:r>
        <w:rPr>
          <w:rFonts w:ascii="Calibri" w:cs="Calibri" w:eastAsia="Calibri" w:hAnsi="Calibri"/>
          <w:sz w:val="22"/>
          <w:szCs w:val="22"/>
        </w:rPr>
        <w:t xml:space="preserve">Installment 7: PHP 205,000.00 due March 30, 2027; scheduled balance after payment: PHP 3,485,000.00.</w:t>
      </w:r>
    </w:p>
    <w:p>
      <w:pPr>
        <w:keepLines/>
        <w:spacing w:after="120" w:line="264"/>
        <w:jc w:val="both"/>
      </w:pPr>
      <w:r>
        <w:rPr>
          <w:rFonts w:ascii="Calibri" w:cs="Calibri" w:eastAsia="Calibri" w:hAnsi="Calibri"/>
          <w:sz w:val="22"/>
          <w:szCs w:val="22"/>
        </w:rPr>
        <w:t xml:space="preserve">Installment 8: PHP 205,000.00 due April 30, 2027; scheduled balance after payment: PHP 3,280,000.00.</w:t>
      </w:r>
    </w:p>
    <w:p>
      <w:pPr>
        <w:keepLines/>
        <w:spacing w:after="120" w:line="264"/>
        <w:jc w:val="both"/>
      </w:pPr>
      <w:r>
        <w:rPr>
          <w:rFonts w:ascii="Calibri" w:cs="Calibri" w:eastAsia="Calibri" w:hAnsi="Calibri"/>
          <w:sz w:val="22"/>
          <w:szCs w:val="22"/>
        </w:rPr>
        <w:t xml:space="preserve">Installment 9: PHP 205,000.00 due May 30, 2027; scheduled balance after payment: PHP 3,075,000.00.</w:t>
      </w:r>
    </w:p>
    <w:p>
      <w:pPr>
        <w:keepLines/>
        <w:spacing w:after="120" w:line="264"/>
        <w:jc w:val="both"/>
      </w:pPr>
      <w:r>
        <w:rPr>
          <w:rFonts w:ascii="Calibri" w:cs="Calibri" w:eastAsia="Calibri" w:hAnsi="Calibri"/>
          <w:sz w:val="22"/>
          <w:szCs w:val="22"/>
        </w:rPr>
        <w:t xml:space="preserve">Installment 10: PHP 205,000.00 due June 30, 2027; scheduled balance after payment: PHP 2,870,000.00.</w:t>
      </w:r>
    </w:p>
    <w:p>
      <w:pPr>
        <w:keepLines/>
        <w:spacing w:after="120" w:line="264"/>
        <w:jc w:val="both"/>
      </w:pPr>
      <w:r>
        <w:rPr>
          <w:rFonts w:ascii="Calibri" w:cs="Calibri" w:eastAsia="Calibri" w:hAnsi="Calibri"/>
          <w:sz w:val="22"/>
          <w:szCs w:val="22"/>
        </w:rPr>
        <w:t xml:space="preserve">Installment 11: PHP 205,000.00 due July 30, 2027; scheduled balance after payment: PHP 2,665,000.00.</w:t>
      </w:r>
    </w:p>
    <w:p>
      <w:pPr>
        <w:keepLines/>
        <w:spacing w:after="120" w:line="264"/>
        <w:jc w:val="both"/>
      </w:pPr>
      <w:r>
        <w:rPr>
          <w:rFonts w:ascii="Calibri" w:cs="Calibri" w:eastAsia="Calibri" w:hAnsi="Calibri"/>
          <w:sz w:val="22"/>
          <w:szCs w:val="22"/>
        </w:rPr>
        <w:t xml:space="preserve">Installment 12: PHP 205,000.00 due August 30, 2027; scheduled balance after payment: PHP 2,460,000.00.</w:t>
      </w:r>
    </w:p>
    <w:p>
      <w:pPr>
        <w:keepLines/>
        <w:spacing w:after="120" w:line="264"/>
        <w:jc w:val="both"/>
      </w:pPr>
      <w:r>
        <w:rPr>
          <w:rFonts w:ascii="Calibri" w:cs="Calibri" w:eastAsia="Calibri" w:hAnsi="Calibri"/>
          <w:sz w:val="22"/>
          <w:szCs w:val="22"/>
        </w:rPr>
        <w:t xml:space="preserve">Installment 13: PHP 205,000.00 due September 30, 2027; scheduled balance after payment: PHP 2,255,000.00.</w:t>
      </w:r>
    </w:p>
    <w:p>
      <w:pPr>
        <w:keepLines/>
        <w:spacing w:after="120" w:line="264"/>
        <w:jc w:val="both"/>
      </w:pPr>
      <w:r>
        <w:rPr>
          <w:rFonts w:ascii="Calibri" w:cs="Calibri" w:eastAsia="Calibri" w:hAnsi="Calibri"/>
          <w:sz w:val="22"/>
          <w:szCs w:val="22"/>
        </w:rPr>
        <w:t xml:space="preserve">Installment 14: PHP 205,000.00 due October 30, 2027; scheduled balance after payment: PHP 2,050,000.00.</w:t>
      </w:r>
    </w:p>
    <w:p>
      <w:pPr>
        <w:keepLines/>
        <w:spacing w:after="120" w:line="264"/>
        <w:jc w:val="both"/>
      </w:pPr>
      <w:r>
        <w:rPr>
          <w:rFonts w:ascii="Calibri" w:cs="Calibri" w:eastAsia="Calibri" w:hAnsi="Calibri"/>
          <w:sz w:val="22"/>
          <w:szCs w:val="22"/>
        </w:rPr>
        <w:t xml:space="preserve">Installment 15: PHP 205,000.00 due November 30, 2027; scheduled balance after payment: PHP 1,845,000.00.</w:t>
      </w:r>
    </w:p>
    <w:p>
      <w:pPr>
        <w:keepLines/>
        <w:spacing w:after="120" w:line="264"/>
        <w:jc w:val="both"/>
      </w:pPr>
      <w:r>
        <w:rPr>
          <w:rFonts w:ascii="Calibri" w:cs="Calibri" w:eastAsia="Calibri" w:hAnsi="Calibri"/>
          <w:sz w:val="22"/>
          <w:szCs w:val="22"/>
        </w:rPr>
        <w:t xml:space="preserve">Installment 16: PHP 205,000.00 due December 30, 2027; scheduled balance after payment: PHP 1,640,000.00.</w:t>
      </w:r>
    </w:p>
    <w:p>
      <w:pPr>
        <w:keepLines/>
        <w:spacing w:after="120" w:line="264"/>
        <w:jc w:val="both"/>
      </w:pPr>
      <w:r>
        <w:rPr>
          <w:rFonts w:ascii="Calibri" w:cs="Calibri" w:eastAsia="Calibri" w:hAnsi="Calibri"/>
          <w:sz w:val="22"/>
          <w:szCs w:val="22"/>
        </w:rPr>
        <w:t xml:space="preserve">Installment 17: PHP 205,000.00 due January 30, 2028; scheduled balance after payment: PHP 1,435,000.00.</w:t>
      </w:r>
    </w:p>
    <w:p>
      <w:pPr>
        <w:keepLines/>
        <w:spacing w:after="120" w:line="264"/>
        <w:jc w:val="both"/>
      </w:pPr>
      <w:r>
        <w:rPr>
          <w:rFonts w:ascii="Calibri" w:cs="Calibri" w:eastAsia="Calibri" w:hAnsi="Calibri"/>
          <w:sz w:val="22"/>
          <w:szCs w:val="22"/>
        </w:rPr>
        <w:t xml:space="preserve">Installment 18: PHP 205,000.00 due February 29, 2028; scheduled balance after payment: PHP 1,230,000.00.</w:t>
      </w:r>
    </w:p>
    <w:p>
      <w:pPr>
        <w:keepLines/>
        <w:spacing w:after="120" w:line="264"/>
        <w:jc w:val="both"/>
      </w:pPr>
      <w:r>
        <w:rPr>
          <w:rFonts w:ascii="Calibri" w:cs="Calibri" w:eastAsia="Calibri" w:hAnsi="Calibri"/>
          <w:sz w:val="22"/>
          <w:szCs w:val="22"/>
        </w:rPr>
        <w:t xml:space="preserve">Installment 19: PHP 205,000.00 due March 30, 2028; scheduled balance after payment: PHP 1,025,000.00.</w:t>
      </w:r>
    </w:p>
    <w:p>
      <w:pPr>
        <w:keepLines/>
        <w:spacing w:after="120" w:line="264"/>
        <w:jc w:val="both"/>
      </w:pPr>
      <w:r>
        <w:rPr>
          <w:rFonts w:ascii="Calibri" w:cs="Calibri" w:eastAsia="Calibri" w:hAnsi="Calibri"/>
          <w:sz w:val="22"/>
          <w:szCs w:val="22"/>
        </w:rPr>
        <w:t xml:space="preserve">Installment 20: PHP 205,000.00 due April 30, 2028; scheduled balance after payment: PHP 820,000.00.</w:t>
      </w:r>
    </w:p>
    <w:p>
      <w:pPr>
        <w:keepLines/>
        <w:spacing w:after="120" w:line="264"/>
        <w:jc w:val="both"/>
      </w:pPr>
      <w:r>
        <w:rPr>
          <w:rFonts w:ascii="Calibri" w:cs="Calibri" w:eastAsia="Calibri" w:hAnsi="Calibri"/>
          <w:sz w:val="22"/>
          <w:szCs w:val="22"/>
        </w:rPr>
        <w:t xml:space="preserve">Installment 21: PHP 205,000.00 due May 30, 2028; scheduled balance after payment: PHP 615,000.00.</w:t>
      </w:r>
    </w:p>
    <w:p>
      <w:pPr>
        <w:keepLines/>
        <w:spacing w:after="120" w:line="264"/>
        <w:jc w:val="both"/>
      </w:pPr>
      <w:r>
        <w:rPr>
          <w:rFonts w:ascii="Calibri" w:cs="Calibri" w:eastAsia="Calibri" w:hAnsi="Calibri"/>
          <w:sz w:val="22"/>
          <w:szCs w:val="22"/>
        </w:rPr>
        <w:t xml:space="preserve">Installment 22: PHP 205,000.00 due June 30, 2028; scheduled balance after payment: PHP 410,000.00.</w:t>
      </w:r>
    </w:p>
    <w:p>
      <w:pPr>
        <w:keepLines/>
        <w:spacing w:after="120" w:line="264"/>
        <w:jc w:val="both"/>
      </w:pPr>
      <w:r>
        <w:rPr>
          <w:rFonts w:ascii="Calibri" w:cs="Calibri" w:eastAsia="Calibri" w:hAnsi="Calibri"/>
          <w:sz w:val="22"/>
          <w:szCs w:val="22"/>
        </w:rPr>
        <w:t xml:space="preserve">Installment 23: PHP 205,000.00 due July 30, 2028; scheduled balance after payment: PHP 205,000.00.</w:t>
      </w:r>
    </w:p>
    <w:p>
      <w:pPr>
        <w:keepLines/>
        <w:spacing w:after="120" w:line="264"/>
        <w:jc w:val="both"/>
      </w:pPr>
      <w:r>
        <w:rPr>
          <w:rFonts w:ascii="Calibri" w:cs="Calibri" w:eastAsia="Calibri" w:hAnsi="Calibri"/>
          <w:sz w:val="22"/>
          <w:szCs w:val="22"/>
        </w:rPr>
        <w:t xml:space="preserve">Installment 24: PHP 205,000.00 due August 30, 2028; scheduled balance after payment: PHP 0.00.</w:t>
      </w:r>
    </w:p>
    <w:p>
      <w:pPr>
        <w:pStyle w:val="Heading2"/>
        <w:keepNext/>
        <w:spacing w:after="120" w:before="240"/>
      </w:pPr>
      <w:r>
        <w:rPr>
          <w:rFonts w:ascii="Calibri" w:cs="Calibri" w:eastAsia="Calibri" w:hAnsi="Calibri"/>
          <w:b/>
          <w:bCs/>
          <w:color w:val="102B3F"/>
          <w:sz w:val="26"/>
          <w:szCs w:val="26"/>
        </w:rPr>
        <w:t xml:space="preserve">5. Positive suspensive condition and closing</w:t>
      </w:r>
    </w:p>
    <w:p>
      <w:pPr>
        <w:keepLines/>
        <w:spacing w:after="120" w:line="264"/>
        <w:jc w:val="both"/>
      </w:pPr>
      <w:r>
        <w:rPr>
          <w:rFonts w:ascii="Calibri" w:cs="Calibri" w:eastAsia="Calibri" w:hAnsi="Calibri"/>
          <w:sz w:val="22"/>
          <w:szCs w:val="22"/>
        </w:rPr>
        <w:t xml:space="preserve">Full cleared payment and completion of the stated Seller and Buyer closing deliverables are positive suspensive conditions to the Seller's obligation to execute the final deed. Possession, an installment receipt, improvements made by the Buyer, or the passage of a target date does not by itself transfer ownership. Target closing date: August 30, 2028.</w:t>
      </w:r>
    </w:p>
    <w:p>
      <w:pPr>
        <w:keepLines/>
        <w:spacing w:after="120" w:line="264"/>
        <w:jc w:val="both"/>
      </w:pPr>
      <w:r>
        <w:rPr>
          <w:rFonts w:ascii="Calibri" w:cs="Calibri" w:eastAsia="Calibri" w:hAnsi="Calibri"/>
          <w:sz w:val="22"/>
          <w:szCs w:val="22"/>
        </w:rPr>
        <w:t xml:space="preserve">Seller deliverables: Current certified TCT and owner's duplicate; updated tax declarations and real-property tax clearance; village clearance; government IDs and PSA marriage record; spouse conformity; no-lien registry search; signed final deed; seller tax filings; Certificate Authorizing Registration; and all original records needed for transfer</w:t>
      </w:r>
    </w:p>
    <w:p>
      <w:pPr>
        <w:keepLines/>
        <w:spacing w:after="120" w:line="264"/>
        <w:jc w:val="both"/>
      </w:pPr>
      <w:r>
        <w:rPr>
          <w:rFonts w:ascii="Calibri" w:cs="Calibri" w:eastAsia="Calibri" w:hAnsi="Calibri"/>
          <w:sz w:val="22"/>
          <w:szCs w:val="22"/>
        </w:rPr>
        <w:t xml:space="preserve">Buyer deliverables: Final cleared price, government IDs, signed final deed and BIR forms, buyer-allocated tax and registration payments, and complete information required for the new title</w:t>
      </w:r>
    </w:p>
    <w:p>
      <w:pPr>
        <w:keepLines/>
        <w:spacing w:after="120" w:line="264"/>
        <w:jc w:val="both"/>
      </w:pPr>
      <w:r>
        <w:rPr>
          <w:rFonts w:ascii="Calibri" w:cs="Calibri" w:eastAsia="Calibri" w:hAnsi="Calibri"/>
          <w:sz w:val="22"/>
          <w:szCs w:val="22"/>
        </w:rPr>
        <w:t xml:space="preserve">Final deed and title process: Within ten business days after full cleared payment and satisfaction of the closing conditions, the parties will sign the final deed; Seller will complete seller-controlled BIR and release requirements and deliver the owner's duplicate and CAR package for Registry processing without guaranteeing an agency processing date</w:t>
      </w:r>
    </w:p>
    <w:p>
      <w:pPr>
        <w:pStyle w:val="Heading2"/>
        <w:keepNext/>
        <w:spacing w:after="120" w:before="240"/>
      </w:pPr>
      <w:r>
        <w:rPr>
          <w:rFonts w:ascii="Calibri" w:cs="Calibri" w:eastAsia="Calibri" w:hAnsi="Calibri"/>
          <w:b/>
          <w:bCs/>
          <w:color w:val="102B3F"/>
          <w:sz w:val="26"/>
          <w:szCs w:val="26"/>
        </w:rPr>
        <w:t xml:space="preserve">6. Realty Installment Buyer Act</w:t>
      </w:r>
    </w:p>
    <w:p>
      <w:pPr>
        <w:keepLines/>
        <w:spacing w:after="120" w:line="264"/>
        <w:jc w:val="both"/>
      </w:pPr>
      <w:r>
        <w:rPr>
          <w:rFonts w:ascii="Calibri" w:cs="Calibri" w:eastAsia="Calibri" w:hAnsi="Calibri"/>
          <w:sz w:val="22"/>
          <w:szCs w:val="22"/>
        </w:rPr>
        <w:t xml:space="preserve">This transaction is recorded as covered by Republic Act No. 6552. If the Buyer has paid at least two years of installments, the Buyer may pay the unpaid installments without additional interest within a grace period of one month for every year of installments paid, which the Buyer may use once in every five years of the life of this Agreement and its extensions. If the Buyer still does not pay, the Seller may cancel only after paying the Buyer the cash surrender value of the payments made, equal to fifty percent (50%) of the total payments, increased by five percent (5%) a year after five years of installments, up to ninety percent (90%) of the total payments, and only thirty days after the Buyer receives a notarial notice of cancellation or demand for rescission.</w:t>
      </w:r>
    </w:p>
    <w:p>
      <w:pPr>
        <w:keepLines/>
        <w:spacing w:after="120" w:line="264"/>
        <w:jc w:val="both"/>
      </w:pPr>
      <w:r>
        <w:rPr>
          <w:rFonts w:ascii="Calibri" w:cs="Calibri" w:eastAsia="Calibri" w:hAnsi="Calibri"/>
          <w:sz w:val="22"/>
          <w:szCs w:val="22"/>
        </w:rPr>
        <w:t xml:space="preserve">If less than two years of installments have been paid, the Buyer receives at least the statutory sixty-day grace period from the date the installment fell due, and cancellation may occur only after the further thirty-day period from receipt of the required notarial notice of cancellation or demand. Down payments, deposits, and options count as the statute directs.</w:t>
      </w:r>
    </w:p>
    <w:p>
      <w:pPr>
        <w:keepLines/>
        <w:spacing w:after="120" w:line="264"/>
        <w:jc w:val="both"/>
      </w:pPr>
      <w:r>
        <w:rPr>
          <w:rFonts w:ascii="Calibri" w:cs="Calibri" w:eastAsia="Calibri" w:hAnsi="Calibri"/>
          <w:sz w:val="22"/>
          <w:szCs w:val="22"/>
        </w:rPr>
        <w:t xml:space="preserve">During the applicable grace period and before actual cancellation, the Buyer may reinstate by updating the account or sell or assign rights through a notarial act. The Buyer may pay any installment or the full unpaid balance in advance at any time without interest being charged for the unexpired period, and may have the advance payment annotated on the title. Any contrary stipulation is void.</w:t>
      </w:r>
    </w:p>
    <w:p>
      <w:pPr>
        <w:pStyle w:val="Heading2"/>
        <w:keepNext/>
        <w:spacing w:after="120" w:before="240"/>
      </w:pPr>
      <w:r>
        <w:rPr>
          <w:rFonts w:ascii="Calibri" w:cs="Calibri" w:eastAsia="Calibri" w:hAnsi="Calibri"/>
          <w:b/>
          <w:bCs/>
          <w:color w:val="102B3F"/>
          <w:sz w:val="26"/>
          <w:szCs w:val="26"/>
        </w:rPr>
        <w:t xml:space="preserve">7. Possession, preservation, and casualty</w:t>
      </w:r>
    </w:p>
    <w:p>
      <w:pPr>
        <w:keepLines/>
        <w:spacing w:after="120" w:line="264"/>
        <w:jc w:val="both"/>
      </w:pPr>
      <w:r>
        <w:rPr>
          <w:rFonts w:ascii="Calibri" w:cs="Calibri" w:eastAsia="Calibri" w:hAnsi="Calibri"/>
          <w:sz w:val="22"/>
          <w:szCs w:val="22"/>
        </w:rPr>
        <w:t xml:space="preserve">Possession will be delivered only at closing under a signed turnover record unless the parties later execute a reviewed written amendment.</w:t>
      </w:r>
    </w:p>
    <w:p>
      <w:pPr>
        <w:keepLines/>
        <w:spacing w:after="120" w:line="264"/>
        <w:jc w:val="both"/>
      </w:pPr>
      <w:r>
        <w:rPr>
          <w:rFonts w:ascii="Calibri" w:cs="Calibri" w:eastAsia="Calibri" w:hAnsi="Calibri"/>
          <w:sz w:val="22"/>
          <w:szCs w:val="22"/>
        </w:rPr>
        <w:t xml:space="preserve">Until actual possession, the Seller preserves the property and bears risks under its control; after authorized possession, the Buyer follows the signed possession allocation without treating possession as transfer of ownership. Insurance, casualty, condemnation, repairs, and proceeds will be documented and reconciled before closing</w:t>
      </w:r>
    </w:p>
    <w:p>
      <w:pPr>
        <w:pStyle w:val="Heading2"/>
        <w:keepNext/>
        <w:spacing w:after="120" w:before="240"/>
      </w:pPr>
      <w:r>
        <w:rPr>
          <w:rFonts w:ascii="Calibri" w:cs="Calibri" w:eastAsia="Calibri" w:hAnsi="Calibri"/>
          <w:b/>
          <w:bCs/>
          <w:color w:val="102B3F"/>
          <w:sz w:val="26"/>
          <w:szCs w:val="26"/>
        </w:rPr>
        <w:t xml:space="preserve">8. Taxes, charges, and registration</w:t>
      </w:r>
    </w:p>
    <w:p>
      <w:pPr>
        <w:keepLines/>
        <w:spacing w:after="120" w:line="264"/>
        <w:jc w:val="both"/>
      </w:pPr>
      <w:r>
        <w:rPr>
          <w:rFonts w:ascii="Calibri" w:cs="Calibri" w:eastAsia="Calibri" w:hAnsi="Calibri"/>
          <w:sz w:val="22"/>
          <w:szCs w:val="22"/>
        </w:rPr>
        <w:t xml:space="preserve">The parties' tax advisers have determined that the tax on this sale may be reported in installments. The first return is due within thirty days after receipt of the down payment, and a further return within thirty days after receipt of each later installment. Values on the date of this Agreement: purchase price PHP 6,000,000.00, BIR zonal value PHP 5,700,000.00, and assessor's fair market value PHP 4,800,000.00. The documentary stamp tax on the final deed is based on the higher of the selling price or fair market value at the time this Agreement is executed (BIR Form 2000-OT guidelines).</w:t>
      </w:r>
    </w:p>
    <w:p>
      <w:pPr>
        <w:keepLines/>
        <w:spacing w:after="120" w:line="264"/>
        <w:jc w:val="both"/>
      </w:pPr>
      <w:r>
        <w:rPr>
          <w:rFonts w:ascii="Calibri" w:cs="Calibri" w:eastAsia="Calibri" w:hAnsi="Calibri"/>
          <w:sz w:val="22"/>
          <w:szCs w:val="22"/>
        </w:rPr>
        <w:t xml:space="preserve">Tax and classification plan: Independent tax professionals will verify that the property is a capital asset of the individual Seller, compute the current CGT base, review the finance charge and installment treatment, confirm that the first capital gains tax return is due within thirty days after the down payment, prepare BIR Form 1706 and related filings, and obtain the Certificate Authorizing Registration before Registry transfer</w:t>
      </w:r>
    </w:p>
    <w:p>
      <w:pPr>
        <w:keepLines/>
        <w:spacing w:after="120" w:line="264"/>
        <w:jc w:val="both"/>
      </w:pPr>
      <w:r>
        <w:rPr>
          <w:rFonts w:ascii="Calibri" w:cs="Calibri" w:eastAsia="Calibri" w:hAnsi="Calibri"/>
          <w:sz w:val="22"/>
          <w:szCs w:val="22"/>
        </w:rPr>
        <w:t xml:space="preserve">Cost allocation: Seller bears capital gains tax and seller-controlled title or lien release costs; Buyer bears documentary stamp tax, local transfer tax, Registry fees, buyer financing, and new-title costs; notarial and survey costs are shared equally, subject to current written professional computation</w:t>
      </w:r>
    </w:p>
    <w:p>
      <w:pPr>
        <w:keepLines/>
        <w:spacing w:after="120" w:line="264"/>
        <w:jc w:val="both"/>
      </w:pPr>
      <w:r>
        <w:rPr>
          <w:rFonts w:ascii="Calibri" w:cs="Calibri" w:eastAsia="Calibri" w:hAnsi="Calibri"/>
          <w:sz w:val="22"/>
          <w:szCs w:val="22"/>
        </w:rPr>
        <w:t xml:space="preserve">Annotation plan: After notarization, the Buyer may have this Contract annotated on the title to protect the Buyer's interest against third persons; the parties will file only a registrable, tax-compliant instrument accepted by the proper Registry of Deeds. The parties acknowledge that registration is the operative act affecting registered land as to third persons and that Registry of Deeds, BIR, LGU, DHSUD, association, lender, and other recipient requirements are independently controlled.</w:t>
      </w:r>
    </w:p>
    <w:p>
      <w:pPr>
        <w:pStyle w:val="Heading2"/>
        <w:keepNext/>
        <w:spacing w:after="120" w:before="240"/>
      </w:pPr>
      <w:r>
        <w:rPr>
          <w:rFonts w:ascii="Calibri" w:cs="Calibri" w:eastAsia="Calibri" w:hAnsi="Calibri"/>
          <w:b/>
          <w:bCs/>
          <w:color w:val="102B3F"/>
          <w:sz w:val="26"/>
          <w:szCs w:val="26"/>
        </w:rPr>
        <w:t xml:space="preserve">9. Default, notice, and cancellation</w:t>
      </w:r>
    </w:p>
    <w:p>
      <w:pPr>
        <w:keepLines/>
        <w:spacing w:after="120" w:line="264"/>
        <w:jc w:val="both"/>
      </w:pPr>
      <w:r>
        <w:rPr>
          <w:rFonts w:ascii="Calibri" w:cs="Calibri" w:eastAsia="Calibri" w:hAnsi="Calibri"/>
          <w:sz w:val="22"/>
          <w:szCs w:val="22"/>
        </w:rPr>
        <w:t xml:space="preserve">Where no longer mandatory period controls, the contractual cure period is 30 calendar days. Disclosed late interest is 0% per year only on a lawful overdue base and for the actual delay, subject to reduction or invalidation under applicable law.</w:t>
      </w:r>
    </w:p>
    <w:p>
      <w:pPr>
        <w:keepLines/>
        <w:spacing w:after="120" w:line="264"/>
        <w:jc w:val="both"/>
      </w:pPr>
      <w:r>
        <w:rPr>
          <w:rFonts w:ascii="Calibri" w:cs="Calibri" w:eastAsia="Calibri" w:hAnsi="Calibri"/>
          <w:sz w:val="22"/>
          <w:szCs w:val="22"/>
        </w:rPr>
        <w:t xml:space="preserve">Seller gives a reconciled written account and detailed notice; every applicable R.A. 6552 grace and reinstatement period runs in full; any cancellation uses a notarial act and becomes effective only after the required thirty-day period and full cash-surrender-value refund; any voluntary surrender is separately documented after cancellation</w:t>
      </w:r>
    </w:p>
    <w:p>
      <w:pPr>
        <w:keepLines/>
        <w:spacing w:after="120" w:line="264"/>
        <w:jc w:val="both"/>
      </w:pPr>
      <w:r>
        <w:rPr>
          <w:rFonts w:ascii="Calibri" w:cs="Calibri" w:eastAsia="Calibri" w:hAnsi="Calibri"/>
          <w:sz w:val="22"/>
          <w:szCs w:val="22"/>
        </w:rPr>
        <w:t xml:space="preserve">The Seller may not use force, threats, harassment, trespass, lockout, utility cutoff, removal of belongings, or another unsupported self-help act. Possession disputes and ejectment must follow applicable demand, barangay, contractual, administrative, and judicial process.</w:t>
      </w:r>
    </w:p>
    <w:p>
      <w:pPr>
        <w:pStyle w:val="Heading2"/>
        <w:keepNext/>
        <w:spacing w:after="120" w:before="240"/>
      </w:pPr>
      <w:r>
        <w:rPr>
          <w:rFonts w:ascii="Calibri" w:cs="Calibri" w:eastAsia="Calibri" w:hAnsi="Calibri"/>
          <w:b/>
          <w:bCs/>
          <w:color w:val="102B3F"/>
          <w:sz w:val="26"/>
          <w:szCs w:val="26"/>
        </w:rPr>
        <w:t xml:space="preserve">10. Representations, inspection, and no double sale</w:t>
      </w:r>
    </w:p>
    <w:p>
      <w:pPr>
        <w:keepLines/>
        <w:spacing w:after="120" w:line="264"/>
        <w:jc w:val="both"/>
      </w:pPr>
      <w:r>
        <w:rPr>
          <w:rFonts w:ascii="Calibri" w:cs="Calibri" w:eastAsia="Calibri" w:hAnsi="Calibri"/>
          <w:sz w:val="22"/>
          <w:szCs w:val="22"/>
        </w:rPr>
        <w:t xml:space="preserve">Seller warrants the stated registered ownership and authority, spouse conformity, no prior sale or option, no undisclosed mortgage, lien, adverse claim, lease, occupant, assessment, expropriation notice, association violation, or material structural defect known after reasonable checks, preservation through closing, and no transaction that impairs Buyer's contracted rights</w:t>
      </w:r>
    </w:p>
    <w:p>
      <w:pPr>
        <w:keepLines/>
        <w:spacing w:after="120" w:line="264"/>
        <w:jc w:val="both"/>
      </w:pPr>
      <w:r>
        <w:rPr>
          <w:rFonts w:ascii="Calibri" w:cs="Calibri" w:eastAsia="Calibri" w:hAnsi="Calibri"/>
          <w:sz w:val="22"/>
          <w:szCs w:val="22"/>
        </w:rPr>
        <w:t xml:space="preserve">Buyer inspection record: Buyer and independent counsel will review certified title and registry entries; a geodetic engineer will verify boundaries and access; qualified inspectors will review the house, utilities, permits, zoning, taxes, association records, occupants, and intended residential use before the due-diligence acceptance date</w:t>
      </w:r>
    </w:p>
    <w:p>
      <w:pPr>
        <w:keepLines/>
        <w:spacing w:after="120" w:line="264"/>
        <w:jc w:val="both"/>
      </w:pPr>
      <w:r>
        <w:rPr>
          <w:rFonts w:ascii="Calibri" w:cs="Calibri" w:eastAsia="Calibri" w:hAnsi="Calibri"/>
          <w:sz w:val="22"/>
          <w:szCs w:val="22"/>
        </w:rPr>
        <w:t xml:space="preserve">Until lawful cancellation or closing, the Seller shall not sell, promise, assign, mortgage, lease, or otherwise impair the Buyer's contracted rights and shall disclose any new title, tax, possession, casualty, government, lender, developer, or association event that could affect closing.</w:t>
      </w:r>
    </w:p>
    <w:p>
      <w:pPr>
        <w:pStyle w:val="Heading2"/>
        <w:keepNext/>
        <w:spacing w:after="120" w:before="240"/>
      </w:pPr>
      <w:r>
        <w:rPr>
          <w:rFonts w:ascii="Calibri" w:cs="Calibri" w:eastAsia="Calibri" w:hAnsi="Calibri"/>
          <w:b/>
          <w:bCs/>
          <w:color w:val="102B3F"/>
          <w:sz w:val="26"/>
          <w:szCs w:val="26"/>
        </w:rPr>
        <w:t xml:space="preserve">11. Notices and disputes</w:t>
      </w:r>
    </w:p>
    <w:p>
      <w:pPr>
        <w:keepLines/>
        <w:spacing w:after="120" w:line="264"/>
        <w:jc w:val="both"/>
      </w:pPr>
      <w:r>
        <w:rPr>
          <w:rFonts w:ascii="Calibri" w:cs="Calibri" w:eastAsia="Calibri" w:hAnsi="Calibri"/>
          <w:sz w:val="22"/>
          <w:szCs w:val="22"/>
        </w:rPr>
        <w:t xml:space="preserve">Notices: Written notice to the stated party addresses by personal delivery, reputable courier, and authenticated email with retained proof of transmission and receipt; replacement details require signed notice</w:t>
      </w:r>
    </w:p>
    <w:p>
      <w:pPr>
        <w:keepLines/>
        <w:spacing w:after="120" w:line="264"/>
        <w:jc w:val="both"/>
      </w:pPr>
      <w:r>
        <w:rPr>
          <w:rFonts w:ascii="Calibri" w:cs="Calibri" w:eastAsia="Calibri" w:hAnsi="Calibri"/>
          <w:sz w:val="22"/>
          <w:szCs w:val="22"/>
        </w:rPr>
        <w:t xml:space="preserve">The parties will use negotiation, mediation, courts. Any court action arising from this Agreement shall be filed exclusively in the proper courts of Makati City, to the exclusion of all other courts, subject to mandatory jurisdiction, barangay, DHSUD/HSAC, provisional-relief, and procedural rules.</w:t>
      </w:r>
    </w:p>
    <w:p>
      <w:pPr>
        <w:pStyle w:val="Heading2"/>
        <w:keepNext/>
        <w:spacing w:after="120" w:before="240"/>
      </w:pPr>
      <w:r>
        <w:rPr>
          <w:rFonts w:ascii="Calibri" w:cs="Calibri" w:eastAsia="Calibri" w:hAnsi="Calibri"/>
          <w:b/>
          <w:bCs/>
          <w:color w:val="102B3F"/>
          <w:sz w:val="26"/>
          <w:szCs w:val="26"/>
        </w:rPr>
        <w:t xml:space="preserve">12. General and execution terms</w:t>
      </w:r>
    </w:p>
    <w:p>
      <w:pPr>
        <w:keepLines/>
        <w:spacing w:after="120" w:line="264"/>
        <w:jc w:val="both"/>
      </w:pPr>
      <w:r>
        <w:rPr>
          <w:rFonts w:ascii="Calibri" w:cs="Calibri" w:eastAsia="Calibri" w:hAnsi="Calibri"/>
          <w:sz w:val="22"/>
          <w:szCs w:val="22"/>
        </w:rPr>
        <w:t xml:space="preserve">This Agreement and its signed schedules contain the transaction terms. Amendments, waivers, extensions, account reconciliations, assignment consents, and closing changes must be in a signed writing and cannot reduce mandatory rights. Invalid language is limited only to the lawful extent without rewriting the transaction's essential character.</w:t>
      </w:r>
    </w:p>
    <w:p>
      <w:pPr>
        <w:keepLines/>
        <w:spacing w:after="120" w:line="264"/>
        <w:jc w:val="both"/>
      </w:pPr>
      <w:r>
        <w:rPr>
          <w:rFonts w:ascii="Calibri" w:cs="Calibri" w:eastAsia="Calibri" w:hAnsi="Calibri"/>
          <w:sz w:val="22"/>
          <w:szCs w:val="22"/>
        </w:rPr>
        <w:t xml:space="preserve">Execution route: paper notarized philippines. Notarial venue: Makati City. The parties will sign complete originals with two disinterested witnesses, appear as required for acknowledgment, present competent identity and authority evidence, initial pages where required, and retain identical copies.</w:t>
      </w:r>
    </w:p>
    <w:p>
      <w:pPr>
        <w:keepNext/>
        <w:spacing w:after="260" w:before="360"/>
      </w:pPr>
      <w:r>
        <w:rPr>
          <w:rFonts w:ascii="Calibri" w:cs="Calibri" w:eastAsia="Calibri" w:hAnsi="Calibri"/>
          <w:b/>
          <w:bCs/>
          <w:sz w:val="22"/>
          <w:szCs w:val="22"/>
        </w:rPr>
        <w:t xml:space="preserve">The parties sign only after reviewing the complete Agreement and schedules and after every blank has been completed or struck out.</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SELLER</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Seller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WITH MY MARITAL CONSENT:</w:t>
            </w:r>
          </w:p>
          <w:p>
            <w:pPr>
              <w:spacing w:after="120"/>
            </w:pPr>
            <w:r>
              <w:rPr>
                <w:rFonts w:ascii="Calibri" w:cs="Calibri" w:eastAsia="Calibri" w:hAnsi="Calibri"/>
                <w:sz w:val="22"/>
                <w:szCs w:val="22"/>
              </w:rPr>
              <w:t xml:space="preserve">Carlos Reyes Santos</w:t>
            </w:r>
          </w:p>
          <w:p>
            <w:pPr>
              <w:spacing w:after="120"/>
            </w:pPr>
            <w:r>
              <w:rPr>
                <w:rFonts w:ascii="Calibri" w:cs="Calibri" w:eastAsia="Calibri" w:hAnsi="Calibri"/>
                <w:sz w:val="22"/>
                <w:szCs w:val="22"/>
              </w:rPr>
              <w:t xml:space="preserve">Spouse of the Seller</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BUYER</w:t>
            </w:r>
          </w:p>
          <w:p>
            <w:pPr>
              <w:spacing w:after="120"/>
            </w:pPr>
            <w:r>
              <w:rPr>
                <w:rFonts w:ascii="Calibri" w:cs="Calibri" w:eastAsia="Calibri" w:hAnsi="Calibri"/>
                <w:sz w:val="22"/>
                <w:szCs w:val="22"/>
              </w:rPr>
              <w:t xml:space="preserve">Roberto Dela Cruz</w:t>
            </w:r>
          </w:p>
          <w:p>
            <w:pPr>
              <w:spacing w:after="120"/>
            </w:pPr>
            <w:r>
              <w:rPr>
                <w:rFonts w:ascii="Calibri" w:cs="Calibri" w:eastAsia="Calibri" w:hAnsi="Calibri"/>
                <w:sz w:val="22"/>
                <w:szCs w:val="22"/>
              </w:rPr>
              <w:t xml:space="preserve">Buyer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SIGNED IN THE PRESENCE OF:</w:t>
            </w:r>
          </w:p>
          <w:p>
            <w:pPr>
              <w:spacing w:after="120"/>
            </w:pPr>
            <w:r>
              <w:rPr>
                <w:rFonts w:ascii="Calibri" w:cs="Calibri" w:eastAsia="Calibri" w:hAnsi="Calibri"/>
                <w:sz w:val="22"/>
                <w:szCs w:val="22"/>
              </w:rPr>
              <w:t xml:space="preserve">______________________________</w:t>
            </w:r>
          </w:p>
          <w:p>
            <w:pPr>
              <w:spacing w:after="120"/>
            </w:pPr>
            <w:r>
              <w:rPr>
                <w:rFonts w:ascii="Calibri" w:cs="Calibri" w:eastAsia="Calibri" w:hAnsi="Calibri"/>
                <w:sz w:val="22"/>
                <w:szCs w:val="22"/>
              </w:rPr>
              <w:t xml:space="preserve">Instrumental 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ACKNOWLEDGMENT</w:t>
      </w:r>
    </w:p>
    <w:p>
      <w:pPr>
        <w:keepLines/>
        <w:spacing w:after="120" w:line="264"/>
        <w:jc w:val="both"/>
      </w:pPr>
      <w:r>
        <w:rPr>
          <w:rFonts w:ascii="Calibri" w:cs="Calibri" w:eastAsia="Calibri" w:hAnsi="Calibri"/>
          <w:sz w:val="22"/>
          <w:szCs w:val="22"/>
        </w:rPr>
        <w:t xml:space="preserve">REPUBLIC OF THE PHILIPPINES )
MAKATI CITY ) S.S.</w:t>
      </w:r>
    </w:p>
    <w:p>
      <w:pPr>
        <w:keepLines/>
        <w:spacing w:after="120" w:line="264"/>
        <w:jc w:val="both"/>
      </w:pPr>
      <w:r>
        <w:rPr>
          <w:rFonts w:ascii="Calibri" w:cs="Calibri" w:eastAsia="Calibri" w:hAnsi="Calibri"/>
          <w:sz w:val="22"/>
          <w:szCs w:val="22"/>
        </w:rPr>
        <w:t xml:space="preserve">BEFORE ME, a Notary Public for and in Makati City, Philippines, on ____________________, personally appeared:</w:t>
      </w:r>
    </w:p>
    <w:p>
      <w:pPr>
        <w:keepLines/>
        <w:spacing w:after="120" w:line="264"/>
        <w:jc w:val="both"/>
      </w:pPr>
      <w:r>
        <w:rPr>
          <w:rFonts w:ascii="Calibri" w:cs="Calibri" w:eastAsia="Calibri" w:hAnsi="Calibri"/>
          <w:sz w:val="22"/>
          <w:szCs w:val="22"/>
        </w:rPr>
        <w:t xml:space="preserve">Maria Elena Santos, Seller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Carlos Reyes Santos, spouse of the Seller, giving marital consent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Roberto Dela Cruz, Buyer — competent evidence of identity: ____________________; date and place issued: ____________________; valid until: ____________________</w:t>
      </w:r>
    </w:p>
    <w:p>
      <w:pPr>
        <w:keepLines/>
        <w:spacing w:after="120" w:line="264"/>
        <w:jc w:val="both"/>
      </w:pPr>
      <w:r>
        <w:rPr>
          <w:rFonts w:ascii="Calibri" w:cs="Calibri" w:eastAsia="Calibri" w:hAnsi="Calibri"/>
          <w:sz w:val="22"/>
          <w:szCs w:val="22"/>
        </w:rPr>
        <w:t xml:space="preserve">known to me and to me known to be the same persons who executed the foregoing Contract to Sell, and who acknowledged to me that it is their free and voluntary act and deed.</w:t>
      </w:r>
    </w:p>
    <w:p>
      <w:pPr>
        <w:keepLines/>
        <w:spacing w:after="120" w:line="264"/>
        <w:jc w:val="both"/>
      </w:pPr>
      <w:r>
        <w:rPr>
          <w:rFonts w:ascii="Calibri" w:cs="Calibri" w:eastAsia="Calibri" w:hAnsi="Calibri"/>
          <w:sz w:val="22"/>
          <w:szCs w:val="22"/>
        </w:rPr>
        <w:t xml:space="preserve">This instrument, consisting of ____ (__) pages, including the page on which this acknowledgment is written, refers to a Contract to Sell relating to one (1) parcel of land, and has been signed by the parties and their instrumental witnesses on the left margin of each and every page thereof and sealed with my notarial seal.</w:t>
      </w:r>
    </w:p>
    <w:p>
      <w:pPr>
        <w:keepLines/>
        <w:spacing w:after="120" w:line="264"/>
        <w:jc w:val="both"/>
      </w:pPr>
      <w:r>
        <w:rPr>
          <w:rFonts w:ascii="Calibri" w:cs="Calibri" w:eastAsia="Calibri" w:hAnsi="Calibri"/>
          <w:sz w:val="22"/>
          <w:szCs w:val="22"/>
        </w:rPr>
        <w:t xml:space="preserve">WITNESS MY HAND AND SEAL on the date and at the place first written above.</w:t>
      </w:r>
    </w:p>
    <w:p>
      <w:pPr>
        <w:keepLines/>
        <w:spacing w:after="120" w:line="264"/>
        <w:jc w:val="both"/>
      </w:pPr>
      <w:r>
        <w:rPr>
          <w:rFonts w:ascii="Calibri" w:cs="Calibri" w:eastAsia="Calibri" w:hAnsi="Calibri"/>
          <w:sz w:val="22"/>
          <w:szCs w:val="22"/>
        </w:rPr>
        <w:t xml:space="preserve">NOTARY PUBLIC
Commission No.: __________________ Until: __________________
Roll of Attorneys No.: __________________
PTR No. / IBP No.: __________________
Office address: __________________</w:t>
      </w:r>
    </w:p>
    <w:p>
      <w:pPr>
        <w:keepLines/>
        <w:spacing w:after="120" w:line="264"/>
        <w:jc w:val="both"/>
      </w:pPr>
      <w:r>
        <w:rPr>
          <w:rFonts w:ascii="Calibri" w:cs="Calibri" w:eastAsia="Calibri" w:hAnsi="Calibri"/>
          <w:sz w:val="22"/>
          <w:szCs w:val="22"/>
        </w:rPr>
        <w:t xml:space="preserve">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All parties and both instrumental witnesses sign the left margin of every page, and sign in full on the signature page. The notary states the number of pages in the acknowledgment (Presidential Decree No. 1529, Section 112).</w:t>
      </w:r>
    </w:p>
    <w:p>
      <w:pPr>
        <w:pStyle w:val="ListParagraph"/>
        <w:keepNext/>
        <w:numPr>
          <w:ilvl w:val="0"/>
          <w:numId w:val="1"/>
        </w:numPr>
        <w:spacing w:after="120" w:line="264"/>
      </w:pPr>
      <w:r>
        <w:rPr>
          <w:rFonts w:ascii="Calibri" w:cs="Calibri" w:eastAsia="Calibri" w:hAnsi="Calibri"/>
          <w:sz w:val="22"/>
          <w:szCs w:val="22"/>
        </w:rPr>
        <w:t xml:space="preserve">Tax timing decided at signing: The parties' tax advisers have determined that the tax on this sale may be reported in installments. The first return is due within thirty days after receipt of the down payment, and a further return within thirty days after receipt of each later installment. Bring the Seller's and Buyer's TINs to the BIR; they are mandatory. Keep a record of the zonal and assessor values on the contract date, because the documentary stamp tax on the final deed uses the values at the time this contract was signed.</w:t>
      </w:r>
    </w:p>
    <w:p>
      <w:pPr>
        <w:pStyle w:val="ListParagraph"/>
        <w:keepNext/>
        <w:numPr>
          <w:ilvl w:val="0"/>
          <w:numId w:val="1"/>
        </w:numPr>
        <w:spacing w:after="120" w:line="264"/>
      </w:pPr>
      <w:r>
        <w:rPr>
          <w:rFonts w:ascii="Calibri" w:cs="Calibri" w:eastAsia="Calibri" w:hAnsi="Calibri"/>
          <w:sz w:val="22"/>
          <w:szCs w:val="22"/>
        </w:rPr>
        <w:t xml:space="preserve">Obtain a current certified true copy of the title directly from the proper Registry of Deeds; compare the owner's duplicate, technical description, registry entries, names, civil status, and physical property.</w:t>
      </w:r>
    </w:p>
    <w:p>
      <w:pPr>
        <w:pStyle w:val="ListParagraph"/>
        <w:keepNext/>
        <w:numPr>
          <w:ilvl w:val="0"/>
          <w:numId w:val="1"/>
        </w:numPr>
        <w:spacing w:after="120" w:line="264"/>
      </w:pPr>
      <w:r>
        <w:rPr>
          <w:rFonts w:ascii="Calibri" w:cs="Calibri" w:eastAsia="Calibri" w:hAnsi="Calibri"/>
          <w:sz w:val="22"/>
          <w:szCs w:val="22"/>
        </w:rPr>
        <w:t xml:space="preserve">Verify seller and buyer identity, citizenship or entity-ownership eligibility, civil status, spouse/co-owner consent, corporate or representative authority, beneficial ownership where applicable, and every signature before releasing money.</w:t>
      </w:r>
    </w:p>
    <w:p>
      <w:pPr>
        <w:pStyle w:val="ListParagraph"/>
        <w:keepNext/>
        <w:numPr>
          <w:ilvl w:val="0"/>
          <w:numId w:val="1"/>
        </w:numPr>
        <w:spacing w:after="120" w:line="264"/>
      </w:pPr>
      <w:r>
        <w:rPr>
          <w:rFonts w:ascii="Calibri" w:cs="Calibri" w:eastAsia="Calibri" w:hAnsi="Calibri"/>
          <w:sz w:val="22"/>
          <w:szCs w:val="22"/>
        </w:rPr>
        <w:t xml:space="preserve">Use a licensed geodetic engineer and appropriate property professionals to verify boundaries, area, access, encroachments, improvements, condition, zoning, occupancy, permits, utilities, hazards, and intended use.</w:t>
      </w:r>
    </w:p>
    <w:p>
      <w:pPr>
        <w:pStyle w:val="ListParagraph"/>
        <w:keepNext/>
        <w:numPr>
          <w:ilvl w:val="0"/>
          <w:numId w:val="1"/>
        </w:numPr>
        <w:spacing w:after="120" w:line="264"/>
      </w:pPr>
      <w:r>
        <w:rPr>
          <w:rFonts w:ascii="Calibri" w:cs="Calibri" w:eastAsia="Calibri" w:hAnsi="Calibri"/>
          <w:sz w:val="22"/>
          <w:szCs w:val="22"/>
        </w:rPr>
        <w:t xml:space="preserve">Reconcile the signed price schedule to the centavo; use traceable payments and truthful receipts showing the installment, allocation, cleared amount, and remaining balance.</w:t>
      </w:r>
    </w:p>
    <w:p>
      <w:pPr>
        <w:pStyle w:val="ListParagraph"/>
        <w:keepNext/>
        <w:numPr>
          <w:ilvl w:val="0"/>
          <w:numId w:val="1"/>
        </w:numPr>
        <w:spacing w:after="120" w:line="264"/>
      </w:pPr>
      <w:r>
        <w:rPr>
          <w:rFonts w:ascii="Calibri" w:cs="Calibri" w:eastAsia="Calibri" w:hAnsi="Calibri"/>
          <w:sz w:val="22"/>
          <w:szCs w:val="22"/>
        </w:rPr>
        <w:t xml:space="preserve">Before any cancellation, recompute the actual payment history and apply every R.A. 6552 or P.D. 957 grace, refund, notarial-notice, reinstatement, assignment, prepayment, non-forfeiture, and title-delivery right that applies.</w:t>
      </w:r>
    </w:p>
    <w:p>
      <w:pPr>
        <w:pStyle w:val="ListParagraph"/>
        <w:keepNext/>
        <w:numPr>
          <w:ilvl w:val="0"/>
          <w:numId w:val="1"/>
        </w:numPr>
        <w:spacing w:after="120" w:line="264"/>
      </w:pPr>
      <w:r>
        <w:rPr>
          <w:rFonts w:ascii="Calibri" w:cs="Calibri" w:eastAsia="Calibri" w:hAnsi="Calibri"/>
          <w:sz w:val="22"/>
          <w:szCs w:val="22"/>
        </w:rPr>
        <w:t xml:space="preserve">Have Philippine real-property counsel and tax professionals classify the seller and property, compute current CGT or EWT, VAT if any, DST, local transfer tax, registration and association charges, and prepare the final deed, BIR filings, CAR/eCAR, LGU clearances, and Registry submission.</w:t>
      </w:r>
    </w:p>
    <w:p>
      <w:pPr>
        <w:pStyle w:val="ListParagraph"/>
        <w:keepNext/>
        <w:numPr>
          <w:ilvl w:val="0"/>
          <w:numId w:val="1"/>
        </w:numPr>
        <w:spacing w:after="120" w:line="264"/>
      </w:pPr>
      <w:r>
        <w:rPr>
          <w:rFonts w:ascii="Calibri" w:cs="Calibri" w:eastAsia="Calibri" w:hAnsi="Calibri"/>
          <w:sz w:val="22"/>
          <w:szCs w:val="22"/>
        </w:rPr>
        <w:t xml:space="preserve">Do not sign a blank instrument, open deed, false receipt, premature acknowledgment, or statement that a title, tax, project, turnover, payment, release, notarization, or registration event already occurred.</w:t>
      </w:r>
    </w:p>
    <w:p>
      <w:pPr>
        <w:pStyle w:val="ListParagraph"/>
        <w:keepNext/>
        <w:numPr>
          <w:ilvl w:val="0"/>
          <w:numId w:val="1"/>
        </w:numPr>
        <w:spacing w:after="120" w:line="264"/>
      </w:pPr>
      <w:r>
        <w:rPr>
          <w:rFonts w:ascii="Calibri" w:cs="Calibri" w:eastAsia="Calibri" w:hAnsi="Calibri"/>
          <w:sz w:val="22"/>
          <w:szCs w:val="22"/>
        </w:rPr>
        <w:t xml:space="preserve">If possession begins before closing, use a signed inventory and condition report with dated media, meters, keys, occupants, insurance, repairs, dues, restrictions, and a lawful surrender process; do not treat possession as ownership.</w:t>
      </w:r>
    </w:p>
    <w:p>
      <w:pPr>
        <w:pStyle w:val="ListParagraph"/>
        <w:keepNext/>
        <w:numPr>
          <w:ilvl w:val="0"/>
          <w:numId w:val="1"/>
        </w:numPr>
        <w:spacing w:after="120" w:line="264"/>
      </w:pPr>
      <w:r>
        <w:rPr>
          <w:rFonts w:ascii="Calibri" w:cs="Calibri" w:eastAsia="Calibri" w:hAnsi="Calibri"/>
          <w:sz w:val="22"/>
          <w:szCs w:val="22"/>
        </w:rPr>
        <w:t xml:space="preserve">Sign complete paper originals with two disinterested witnesses and complete a proper acknowledgment through actual personal appearance, competent identity evidence, authority evidence, page controls, and the notary's contemporaneous register.</w:t>
      </w:r>
    </w:p>
    <w:p>
      <w:pPr>
        <w:pStyle w:val="ListParagraph"/>
        <w:keepNext w:val="false"/>
        <w:numPr>
          <w:ilvl w:val="0"/>
          <w:numId w:val="1"/>
        </w:numPr>
        <w:spacing w:after="120" w:line="264"/>
      </w:pPr>
      <w:r>
        <w:rPr>
          <w:rFonts w:ascii="Calibri" w:cs="Calibri" w:eastAsia="Calibri" w:hAnsi="Calibri"/>
          <w:sz w:val="22"/>
          <w:szCs w:val="22"/>
        </w:rPr>
        <w:t xml:space="preserve">Keep identical signed originals, certified title and tax records, due-diligence reports, authority documents, receipts, notices and proof of service, payment ledger, project/association records, closing deliverables, and all later amendments without overwriting earlier versions.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real-property lawyer review pending | Last legal check 2026-10-01 | Next review due 2026-11-01</w:t>
      </w:r>
    </w:p>
    <w:p>
      <w:pPr>
        <w:keepNext/>
        <w:spacing w:after="60" w:before="100"/>
      </w:pPr>
      <w:r>
        <w:rPr>
          <w:rFonts w:ascii="Calibri" w:cs="Calibri" w:eastAsia="Calibri" w:hAnsi="Calibri"/>
          <w:b/>
          <w:bCs/>
          <w:sz w:val="18"/>
          <w:szCs w:val="18"/>
        </w:rPr>
        <w:t xml:space="preserve">Republic Act No. 386 — Civil Code - Contracts, form, sales, determinate property, price, title reservation, delivery, warranties, reciprocal obligations, damages, and immovable-property rules (checked 2026-08-31)</w:t>
      </w:r>
    </w:p>
    <w:p>
      <w:pPr>
        <w:spacing w:after="120"/>
      </w:pPr>
      <w:hyperlink w:history="1" r:id="rIdgeg1baguoxuwwidhwb0bi">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Platinum Plans Phil. Inc. v. Cucueco, G.R. No. 147405, April 25, 2006 - In a contract to sell, ownership is reserved; full payment is a positive suspensive condition whose non-fulfillment is not a breach, and Article 1592 does not apply (checked 2026-10-01)</w:t>
      </w:r>
    </w:p>
    <w:p>
      <w:pPr>
        <w:spacing w:after="120"/>
      </w:pPr>
      <w:hyperlink w:history="1" r:id="rId9rtaea284afsonnyu867m">
        <w:r>
          <w:rPr>
            <w:rFonts w:ascii="Calibri" w:cs="Calibri" w:eastAsia="Calibri" w:hAnsi="Calibri"/>
            <w:color w:val="315B75"/>
            <w:sz w:val="17"/>
            <w:szCs w:val="17"/>
            <w:u w:val="single"/>
          </w:rPr>
          <w:t xml:space="preserve">https://lawphil.net/judjuris/juri2006/apr2006/gr_147405_2006.html</w:t>
        </w:r>
      </w:hyperlink>
    </w:p>
    <w:p>
      <w:pPr>
        <w:keepNext/>
        <w:spacing w:after="60" w:before="100"/>
      </w:pPr>
      <w:r>
        <w:rPr>
          <w:rFonts w:ascii="Calibri" w:cs="Calibri" w:eastAsia="Calibri" w:hAnsi="Calibri"/>
          <w:b/>
          <w:bCs/>
          <w:sz w:val="18"/>
          <w:szCs w:val="18"/>
        </w:rPr>
        <w:t xml:space="preserve">Republic Act No. 6552 — Realty Installment Buyer Act - Sections 3–7: one month of grace per year of installments paid (once every five years), cash surrender value of 50% of total payments plus 5% a year after five years up to 90%, sixty-day grace period when less than two years were paid, notarial cancellation after thirty days, reinstatement, assignment, prepayment, and anti-waiver rule (checked 2026-10-01)</w:t>
      </w:r>
    </w:p>
    <w:p>
      <w:pPr>
        <w:spacing w:after="120"/>
      </w:pPr>
      <w:hyperlink w:history="1" r:id="rIdgnwvuqjq1z6948gm7f8aj">
        <w:r>
          <w:rPr>
            <w:rFonts w:ascii="Calibri" w:cs="Calibri" w:eastAsia="Calibri" w:hAnsi="Calibri"/>
            <w:color w:val="315B75"/>
            <w:sz w:val="17"/>
            <w:szCs w:val="17"/>
            <w:u w:val="single"/>
          </w:rPr>
          <w:t xml:space="preserve">https://lawphil.net/statutes/repacts/ra1972/ra_6552_1972.html</w:t>
        </w:r>
      </w:hyperlink>
    </w:p>
    <w:p>
      <w:pPr>
        <w:keepNext/>
        <w:spacing w:after="60" w:before="100"/>
      </w:pPr>
      <w:r>
        <w:rPr>
          <w:rFonts w:ascii="Calibri" w:cs="Calibri" w:eastAsia="Calibri" w:hAnsi="Calibri"/>
          <w:b/>
          <w:bCs/>
          <w:sz w:val="18"/>
          <w:szCs w:val="18"/>
        </w:rPr>
        <w:t xml:space="preserve">Presidential Decree No. 957 — Subdivision and Condominium Buyers' Protective Decree - Section 17 (contracts to sell of subdivision lots and condominium units must be registered by the seller with the Register of Deeds, whether or not fully paid), project registration and license to sell, advertisements as warranties, development, non-forfeiture, installment default, title delivery, mortgage, taxes, fees, and buyer remedies (checked 2026-10-01)</w:t>
      </w:r>
    </w:p>
    <w:p>
      <w:pPr>
        <w:spacing w:after="120"/>
      </w:pPr>
      <w:hyperlink w:history="1" r:id="rIdjfowdgq4i4niyx8jvml_n">
        <w:r>
          <w:rPr>
            <w:rFonts w:ascii="Calibri" w:cs="Calibri" w:eastAsia="Calibri" w:hAnsi="Calibri"/>
            <w:color w:val="315B75"/>
            <w:sz w:val="17"/>
            <w:szCs w:val="17"/>
            <w:u w:val="single"/>
          </w:rPr>
          <w:t xml:space="preserve">https://lawphil.net/statutes/presdecs/pd1976/pd_957_1976.html</w:t>
        </w:r>
      </w:hyperlink>
    </w:p>
    <w:p>
      <w:pPr>
        <w:keepNext/>
        <w:spacing w:after="60" w:before="100"/>
      </w:pPr>
      <w:r>
        <w:rPr>
          <w:rFonts w:ascii="Calibri" w:cs="Calibri" w:eastAsia="Calibri" w:hAnsi="Calibri"/>
          <w:b/>
          <w:bCs/>
          <w:sz w:val="18"/>
          <w:szCs w:val="18"/>
        </w:rPr>
        <w:t xml:space="preserve">1987 Constitution of the Republic of the Philippines - Article XII, Sections 2, 7, and 8 on eligibility to acquire private land (checked 2026-08-31)</w:t>
      </w:r>
    </w:p>
    <w:p>
      <w:pPr>
        <w:spacing w:after="120"/>
      </w:pPr>
      <w:hyperlink w:history="1" r:id="rIdtbwm__u_xpx6o1x6ft4pd">
        <w:r>
          <w:rPr>
            <w:rFonts w:ascii="Calibri" w:cs="Calibri" w:eastAsia="Calibri" w:hAnsi="Calibri"/>
            <w:color w:val="315B75"/>
            <w:sz w:val="17"/>
            <w:szCs w:val="17"/>
            <w:u w:val="single"/>
          </w:rPr>
          <w:t xml:space="preserve">https://lawphil.net/consti/cons1987.html</w:t>
        </w:r>
      </w:hyperlink>
    </w:p>
    <w:p>
      <w:pPr>
        <w:keepNext/>
        <w:spacing w:after="60" w:before="100"/>
      </w:pPr>
      <w:r>
        <w:rPr>
          <w:rFonts w:ascii="Calibri" w:cs="Calibri" w:eastAsia="Calibri" w:hAnsi="Calibri"/>
          <w:b/>
          <w:bCs/>
          <w:sz w:val="18"/>
          <w:szCs w:val="18"/>
        </w:rPr>
        <w:t xml:space="preserve">Republic Act No. 4726 — Condominium Act - Unit and common-area interests, master deed, restrictions, liens, condominium corporation, and foreign-interest limits (checked 2026-08-31)</w:t>
      </w:r>
    </w:p>
    <w:p>
      <w:pPr>
        <w:spacing w:after="120"/>
      </w:pPr>
      <w:hyperlink w:history="1" r:id="rIdopkznsoa6nrb54qyqlwta">
        <w:r>
          <w:rPr>
            <w:rFonts w:ascii="Calibri" w:cs="Calibri" w:eastAsia="Calibri" w:hAnsi="Calibri"/>
            <w:color w:val="315B75"/>
            <w:sz w:val="17"/>
            <w:szCs w:val="17"/>
            <w:u w:val="single"/>
          </w:rPr>
          <w:t xml:space="preserve">https://lawphil.net/statutes/repacts/ra1966/ra_4726_1966.html</w:t>
        </w:r>
      </w:hyperlink>
    </w:p>
    <w:p>
      <w:pPr>
        <w:keepNext/>
        <w:spacing w:after="60" w:before="100"/>
      </w:pPr>
      <w:r>
        <w:rPr>
          <w:rFonts w:ascii="Calibri" w:cs="Calibri" w:eastAsia="Calibri" w:hAnsi="Calibri"/>
          <w:b/>
          <w:bCs/>
          <w:sz w:val="18"/>
          <w:szCs w:val="18"/>
        </w:rPr>
        <w:t xml:space="preserve">Executive Order No. 209 — Family Code - Article 75 (default regime), Articles 91–93, 109 and 116 (community, conjugal, and exclusive property; presumption), Articles 96 and 124 (disposition or encumbrance without the other spouse's written consent is void), Articles 103 and 130 (liquidation after death) (checked 2026-10-01)</w:t>
      </w:r>
    </w:p>
    <w:p>
      <w:pPr>
        <w:spacing w:after="120"/>
      </w:pPr>
      <w:hyperlink w:history="1" r:id="rIdlntb6nuk1qtbopelmbvom">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Presidential Decree No. 1529 — Property Registration Decree - Registered-land dealings, third-party effect, interests less than ownership, and Section 112 (two witnesses; acknowledgment stating the page count and left-margin signing) (checked 2026-10-01)</w:t>
      </w:r>
    </w:p>
    <w:p>
      <w:pPr>
        <w:spacing w:after="120"/>
      </w:pPr>
      <w:hyperlink w:history="1" r:id="rId68pzxr4oq4zha_lgla8qd">
        <w:r>
          <w:rPr>
            <w:rFonts w:ascii="Calibri" w:cs="Calibri" w:eastAsia="Calibri" w:hAnsi="Calibri"/>
            <w:color w:val="315B75"/>
            <w:sz w:val="17"/>
            <w:szCs w:val="17"/>
            <w:u w:val="single"/>
          </w:rPr>
          <w:t xml:space="preserve">https://lawphil.net/statutes/presdecs/pd1978/pd_1529_1978.html</w:t>
        </w:r>
      </w:hyperlink>
    </w:p>
    <w:p>
      <w:pPr>
        <w:keepNext/>
        <w:spacing w:after="60" w:before="100"/>
      </w:pPr>
      <w:r>
        <w:rPr>
          <w:rFonts w:ascii="Calibri" w:cs="Calibri" w:eastAsia="Calibri" w:hAnsi="Calibri"/>
          <w:b/>
          <w:bCs/>
          <w:sz w:val="18"/>
          <w:szCs w:val="18"/>
        </w:rPr>
        <w:t xml:space="preserve">BIR Form No. 1706 — Capital Gains Tax Return guidelines - Capital-asset sale classification and tax base; for an installment sale where installment payment of the tax is allowed, the return is due within thirty days following receipt of the first down payment and of each later installment (checked 2026-10-01)</w:t>
      </w:r>
    </w:p>
    <w:p>
      <w:pPr>
        <w:spacing w:after="120"/>
      </w:pPr>
      <w:hyperlink w:history="1" r:id="rId_b5_2qlelvxkjm9sodn-n">
        <w:r>
          <w:rPr>
            <w:rFonts w:ascii="Calibri" w:cs="Calibri" w:eastAsia="Calibri" w:hAnsi="Calibri"/>
            <w:color w:val="315B75"/>
            <w:sz w:val="17"/>
            <w:szCs w:val="17"/>
            <w:u w:val="single"/>
          </w:rPr>
          <w:t xml:space="preserve">https://bir-cdn.bir.gov.ph/local/pdf/RMC%20No.%209-2023%20Annex%20B%20Attachment.pdf</w:t>
        </w:r>
      </w:hyperlink>
    </w:p>
    <w:p>
      <w:pPr>
        <w:keepNext/>
        <w:spacing w:after="60" w:before="100"/>
      </w:pPr>
      <w:r>
        <w:rPr>
          <w:rFonts w:ascii="Calibri" w:cs="Calibri" w:eastAsia="Calibri" w:hAnsi="Calibri"/>
          <w:b/>
          <w:bCs/>
          <w:sz w:val="18"/>
          <w:szCs w:val="18"/>
        </w:rPr>
        <w:t xml:space="preserve">BIR Form No. 2000-OT — Documentary Stamp Tax guidelines - For a sale on installment or deferred payment, DST accrues on the deed of absolute sale but is based on the higher of the selling price or fair market value at the time the contract to sell is executed (checked 2026-10-01)</w:t>
      </w:r>
    </w:p>
    <w:p>
      <w:pPr>
        <w:spacing w:after="120"/>
      </w:pPr>
      <w:hyperlink w:history="1" r:id="rIdjw8yodif0oi8nwegllzuv">
        <w:r>
          <w:rPr>
            <w:rFonts w:ascii="Calibri" w:cs="Calibri" w:eastAsia="Calibri" w:hAnsi="Calibri"/>
            <w:color w:val="315B75"/>
            <w:sz w:val="17"/>
            <w:szCs w:val="17"/>
            <w:u w:val="single"/>
          </w:rPr>
          <w:t xml:space="preserve">https://bir-cdn.bir.gov.ph/local/pdf/2000-OT%20GL%20-%20revised2021.pdf</w:t>
        </w:r>
      </w:hyperlink>
    </w:p>
    <w:p>
      <w:pPr>
        <w:keepNext/>
        <w:spacing w:after="60" w:before="100"/>
      </w:pPr>
      <w:r>
        <w:rPr>
          <w:rFonts w:ascii="Calibri" w:cs="Calibri" w:eastAsia="Calibri" w:hAnsi="Calibri"/>
          <w:b/>
          <w:bCs/>
          <w:sz w:val="18"/>
          <w:szCs w:val="18"/>
        </w:rPr>
        <w:t xml:space="preserve">BIR real-property transfer documentary checklist - Mandatory TIN of Seller and Buyer; title, tax declaration, deed, contract to sell, tax-return, and Certificate Authorizing Registration records for real-property transfers (checked 2026-10-01)</w:t>
      </w:r>
    </w:p>
    <w:p>
      <w:pPr>
        <w:spacing w:after="120"/>
      </w:pPr>
      <w:hyperlink w:history="1" r:id="rIdyvu6yhqqnopgzbd2vxpsm">
        <w:r>
          <w:rPr>
            <w:rFonts w:ascii="Calibri" w:cs="Calibri" w:eastAsia="Calibri" w:hAnsi="Calibri"/>
            <w:color w:val="315B75"/>
            <w:sz w:val="17"/>
            <w:szCs w:val="17"/>
            <w:u w:val="single"/>
          </w:rPr>
          <w:t xml:space="preserve">https://bir-cdn.bir.gov.ph/BIR/pdf/RMO%20No.%2028-2016%20Annex%20B.pdf</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the representative's authority to sign in that capacity (Rule II, Sec. 1), venue, and notarial certificate (checked 2026-10-01)</w:t>
      </w:r>
    </w:p>
    <w:p>
      <w:pPr>
        <w:spacing w:after="120"/>
      </w:pPr>
      <w:hyperlink w:history="1" r:id="rIdqacqjqe4mim2gkumpsf6j">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DHSUD Citizen's Charter 2025 - Current certificate-of-registration and license-to-sell service and verification context for subdivision and condominium projects (checked 2026-08-31)</w:t>
      </w:r>
    </w:p>
    <w:p>
      <w:pPr>
        <w:spacing w:after="120"/>
      </w:pPr>
      <w:hyperlink w:history="1" r:id="rIdkj59luygtyxgiszqmfq6p">
        <w:r>
          <w:rPr>
            <w:rFonts w:ascii="Calibri" w:cs="Calibri" w:eastAsia="Calibri" w:hAnsi="Calibri"/>
            <w:color w:val="315B75"/>
            <w:sz w:val="17"/>
            <w:szCs w:val="17"/>
            <w:u w:val="single"/>
          </w:rPr>
          <w:t xml:space="preserve">https://dhsud.gov.ph/wp-content/uploads/CitizensCharter/DHSUD%20Citizen%27s%20Charter%202025%201st%20Edition.pdf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g1baguoxuwwidhwb0bi" Type="http://schemas.openxmlformats.org/officeDocument/2006/relationships/hyperlink" Target="https://lawphil.net/statutes/repacts/ra1949/ra_386_1949.html" TargetMode="External"/><Relationship Id="rId9rtaea284afsonnyu867m" Type="http://schemas.openxmlformats.org/officeDocument/2006/relationships/hyperlink" Target="https://lawphil.net/judjuris/juri2006/apr2006/gr_147405_2006.html" TargetMode="External"/><Relationship Id="rIdgnwvuqjq1z6948gm7f8aj" Type="http://schemas.openxmlformats.org/officeDocument/2006/relationships/hyperlink" Target="https://lawphil.net/statutes/repacts/ra1972/ra_6552_1972.html" TargetMode="External"/><Relationship Id="rIdjfowdgq4i4niyx8jvml_n" Type="http://schemas.openxmlformats.org/officeDocument/2006/relationships/hyperlink" Target="https://lawphil.net/statutes/presdecs/pd1976/pd_957_1976.html" TargetMode="External"/><Relationship Id="rIdtbwm__u_xpx6o1x6ft4pd" Type="http://schemas.openxmlformats.org/officeDocument/2006/relationships/hyperlink" Target="https://lawphil.net/consti/cons1987.html" TargetMode="External"/><Relationship Id="rIdopkznsoa6nrb54qyqlwta" Type="http://schemas.openxmlformats.org/officeDocument/2006/relationships/hyperlink" Target="https://lawphil.net/statutes/repacts/ra1966/ra_4726_1966.html" TargetMode="External"/><Relationship Id="rIdlntb6nuk1qtbopelmbvom" Type="http://schemas.openxmlformats.org/officeDocument/2006/relationships/hyperlink" Target="https://lawphil.net/executive/execord/eo1987/eo_209_1987.html" TargetMode="External"/><Relationship Id="rId68pzxr4oq4zha_lgla8qd" Type="http://schemas.openxmlformats.org/officeDocument/2006/relationships/hyperlink" Target="https://lawphil.net/statutes/presdecs/pd1978/pd_1529_1978.html" TargetMode="External"/><Relationship Id="rId_b5_2qlelvxkjm9sodn-n" Type="http://schemas.openxmlformats.org/officeDocument/2006/relationships/hyperlink" Target="https://bir-cdn.bir.gov.ph/local/pdf/RMC%20No.%209-2023%20Annex%20B%20Attachment.pdf" TargetMode="External"/><Relationship Id="rIdjw8yodif0oi8nwegllzuv" Type="http://schemas.openxmlformats.org/officeDocument/2006/relationships/hyperlink" Target="https://bir-cdn.bir.gov.ph/local/pdf/2000-OT%20GL%20-%20revised2021.pdf" TargetMode="External"/><Relationship Id="rIdyvu6yhqqnopgzbd2vxpsm" Type="http://schemas.openxmlformats.org/officeDocument/2006/relationships/hyperlink" Target="https://bir-cdn.bir.gov.ph/BIR/pdf/RMO%20No.%2028-2016%20Annex%20B.pdf" TargetMode="External"/><Relationship Id="rIdqacqjqe4mim2gkumpsf6j" Type="http://schemas.openxmlformats.org/officeDocument/2006/relationships/hyperlink" Target="https://sc.judiciary.gov.ph/wp-content/uploads/2022/08/02-08-13-SC-1.pdf" TargetMode="External"/><Relationship Id="rIdkj59luygtyxgiszqmfq6p" Type="http://schemas.openxmlformats.org/officeDocument/2006/relationships/hyperlink" Target="https://dhsud.gov.ph/wp-content/uploads/CitizensCharter/DHSUD%20Citizen%27s%20Charter%202025%201st%20Edition.pdf"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to Sell</dc:title>
  <dc:creator>LAW.PH</dc:creator>
  <dc:description>Free sample of the Contract to Sell — Real Property from LAW.PH, with fictional details</dc:description>
  <cp:lastModifiedBy>Un-named</cp:lastModifiedBy>
  <cp:revision>1</cp:revision>
  <dcterms:created xsi:type="dcterms:W3CDTF">2026-10-02T05:29:57.186Z</dcterms:created>
  <dcterms:modified xsi:type="dcterms:W3CDTF">2026-10-02T05:29:57.186Z</dcterms:modified>
</cp:coreProperties>
</file>

<file path=docProps/custom.xml><?xml version="1.0" encoding="utf-8"?>
<Properties xmlns="http://schemas.openxmlformats.org/officeDocument/2006/custom-properties" xmlns:vt="http://schemas.openxmlformats.org/officeDocument/2006/docPropsVTypes"/>
</file>