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80"/>
        <w:jc w:val="center"/>
      </w:pPr>
      <w:r>
        <w:rPr>
          <w:rFonts w:ascii="Calibri" w:cs="Calibri" w:eastAsia="Calibri" w:hAnsi="Calibri"/>
          <w:b/>
          <w:bCs/>
          <w:color w:val="B48735"/>
          <w:spacing w:val="100"/>
          <w:sz w:val="18"/>
          <w:szCs w:val="18"/>
        </w:rPr>
        <w:t xml:space="preserve">LAW.PH</w:t>
      </w:r>
    </w:p>
    <w:p>
      <w:pPr>
        <w:pStyle w:val="Title"/>
        <w:spacing w:after="100"/>
        <w:jc w:val="center"/>
      </w:pPr>
      <w:r>
        <w:rPr>
          <w:rFonts w:ascii="Calibri" w:cs="Calibri" w:eastAsia="Calibri" w:hAnsi="Calibri"/>
          <w:b/>
          <w:bCs/>
          <w:color w:val="102B3F"/>
          <w:sz w:val="30"/>
          <w:szCs w:val="30"/>
        </w:rPr>
        <w:t xml:space="preserve">SECRETARY'S CERTIFICATE</w:t>
      </w:r>
    </w:p>
    <w:p>
      <w:pPr>
        <w:spacing w:after="160"/>
        <w:jc w:val="center"/>
      </w:pPr>
      <w:r>
        <w:rPr>
          <w:rFonts w:ascii="Calibri" w:cs="Calibri" w:eastAsia="Calibri" w:hAnsi="Calibri"/>
          <w:color w:val="566674"/>
          <w:sz w:val="18"/>
          <w:szCs w:val="18"/>
        </w:rPr>
        <w:t xml:space="preserve">Bayanihan Retail Corporation · Standard board-action route · Template v0.2.0</w:t>
      </w:r>
    </w:p>
    <w:p>
      <w:pPr>
        <w:shd w:fill="FFF8E8" w:val="clear"/>
        <w:spacing w:after="260" w:before="80"/>
        <w:jc w:val="center"/>
      </w:pPr>
      <w:r>
        <w:rPr>
          <w:rFonts w:ascii="Calibri" w:cs="Calibri" w:eastAsia="Calibri" w:hAnsi="Calibri"/>
          <w:b/>
          <w:bCs/>
          <w:color w:val="8A5A12"/>
          <w:sz w:val="16"/>
          <w:szCs w:val="16"/>
        </w:rPr>
        <w:t xml:space="preserve">FREE SAMPLE · Fictional names, dates, and amounts: replace every one before use · Engineering draft · independent Philippine corporate-lawyer review pending</w:t>
      </w:r>
    </w:p>
    <w:p>
      <w:pPr>
        <w:pStyle w:val="Heading2"/>
        <w:keepNext/>
        <w:spacing w:after="120" w:before="240"/>
      </w:pPr>
      <w:r>
        <w:rPr>
          <w:rFonts w:ascii="Calibri" w:cs="Calibri" w:eastAsia="Calibri" w:hAnsi="Calibri"/>
          <w:b/>
          <w:bCs/>
          <w:color w:val="102B3F"/>
          <w:sz w:val="26"/>
          <w:szCs w:val="26"/>
        </w:rPr>
        <w:t xml:space="preserve">CERTIFICATION AND CORPORATE IDENTITY</w:t>
      </w:r>
    </w:p>
    <w:p>
      <w:pPr>
        <w:keepLines/>
        <w:spacing w:after="120" w:line="264"/>
        <w:jc w:val="both"/>
      </w:pPr>
      <w:r>
        <w:rPr>
          <w:rFonts w:ascii="Calibri" w:cs="Calibri" w:eastAsia="Calibri" w:hAnsi="Calibri"/>
          <w:sz w:val="22"/>
          <w:szCs w:val="22"/>
        </w:rPr>
        <w:t xml:space="preserve">I, Maria L. Santos, certify that I am the duly elected and incumbent Corporate Secretary of Bayanihan Retail Corporation, a domestic stock corporation with SEC registration CS201912345 and principal office at 12 Mabini Avenue, Barangay San Lorenzo, Makati City 1226, Philippines.</w:t>
      </w:r>
    </w:p>
    <w:p>
      <w:pPr>
        <w:keepLines/>
        <w:spacing w:after="120" w:line="264"/>
        <w:jc w:val="both"/>
      </w:pPr>
      <w:r>
        <w:rPr>
          <w:rFonts w:ascii="Calibri" w:cs="Calibri" w:eastAsia="Calibri" w:hAnsi="Calibri"/>
          <w:sz w:val="22"/>
          <w:szCs w:val="22"/>
        </w:rPr>
        <w:t xml:space="preserve">Corporate-record basis: SEC-filed Articles of Incorporation dated 12 March 2019, amended 10 January 2024, and Bylaws dated 30 April 2019, verified against the signed corporate books on 29 August 2026. Secretary incumbency: Elected Corporate Secretary by Board Resolution No. 2026-01 on 15 January 2026 and reflected in the current General Information Sheet and secretary's incumbency register. Current route: Standard board-action route.</w:t>
      </w:r>
    </w:p>
    <w:p>
      <w:pPr>
        <w:keepLines/>
        <w:spacing w:after="120" w:line="264"/>
        <w:jc w:val="both"/>
      </w:pPr>
      <w:r>
        <w:rPr>
          <w:rFonts w:ascii="Calibri" w:cs="Calibri" w:eastAsia="Calibri" w:hAnsi="Calibri"/>
          <w:sz w:val="22"/>
          <w:szCs w:val="22"/>
        </w:rPr>
        <w:t xml:space="preserve">This document certifies only facts supported by the corporate books. It does not create corporate power, cure a defective meeting or vote, replace a required owner/member/regulator approval, or prove recipient acceptance, filing, notarization, or transaction completion.</w:t>
      </w:r>
    </w:p>
    <w:p>
      <w:pPr>
        <w:pStyle w:val="Heading2"/>
        <w:keepNext/>
        <w:spacing w:after="120" w:before="240"/>
      </w:pPr>
      <w:r>
        <w:rPr>
          <w:rFonts w:ascii="Calibri" w:cs="Calibri" w:eastAsia="Calibri" w:hAnsi="Calibri"/>
          <w:b/>
          <w:bCs/>
          <w:color w:val="102B3F"/>
          <w:sz w:val="26"/>
          <w:szCs w:val="26"/>
        </w:rPr>
        <w:t xml:space="preserve">ADOPTION, NOTICE, ATTENDANCE, AND QUORUM</w:t>
      </w:r>
    </w:p>
    <w:p>
      <w:pPr>
        <w:keepLines/>
        <w:spacing w:after="120" w:line="264"/>
        <w:jc w:val="both"/>
      </w:pPr>
      <w:r>
        <w:rPr>
          <w:rFonts w:ascii="Calibri" w:cs="Calibri" w:eastAsia="Calibri" w:hAnsi="Calibri"/>
          <w:sz w:val="22"/>
          <w:szCs w:val="22"/>
        </w:rPr>
        <w:t xml:space="preserve">At a special meeting on August 30, 2026 at 10:00 a.m., held at Board Room, 12 Mabini Avenue, Makati City, with one director participating through the approved secure videoconference platform, the Board acted as described below.</w:t>
      </w:r>
    </w:p>
    <w:p>
      <w:pPr>
        <w:keepLines/>
        <w:spacing w:after="120" w:line="264"/>
        <w:jc w:val="both"/>
      </w:pPr>
      <w:r>
        <w:rPr>
          <w:rFonts w:ascii="Calibri" w:cs="Calibri" w:eastAsia="Calibri" w:hAnsi="Calibri"/>
          <w:sz w:val="22"/>
          <w:szCs w:val="22"/>
        </w:rPr>
        <w:t xml:space="preserve">Call and notice record: called by President Jose P. Reyes under Article IV, Section 3 of the Bylaws; 5 day(s) advance notice, against a required minimum of 2 day(s) under Section 52 of the Revised Corporation Code. On 25 August 2026, the secretary emailed every director the signed notice, date, time, physical and remote access details, agenda, approval memorandum, and final agreement; delivery receipts and acknowledgments are retained. Waivers or objections: All directors acknowledged notice; the absent director gave no waiver, and no attendee objected to the call, notice, agenda, place, or remote procedure at the beginning of the meeting.</w:t>
      </w:r>
    </w:p>
    <w:p>
      <w:pPr>
        <w:keepLines/>
        <w:spacing w:after="120" w:line="264"/>
        <w:jc w:val="both"/>
      </w:pPr>
      <w:r>
        <w:rPr>
          <w:rFonts w:ascii="Calibri" w:cs="Calibri" w:eastAsia="Calibri" w:hAnsi="Calibri"/>
          <w:sz w:val="22"/>
          <w:szCs w:val="22"/>
        </w:rPr>
        <w:t xml:space="preserve">Board size stated in the articles: 5. Applicable quorum: 3. Present and able to participate: 4, including 1 remotely. Participants: Jose P. Reyes—in person, chair; Ana D. Cruz—in person; Roberto M. Lim—in person; Elena V. Tan—remote from Cebu City. Carlo S. Ong was absent. All four attendees participated throughout. Presiding: Jose P. Reyes, Chairperson. Recording secretary: Maria L. Santos, Corporate Secretary.</w:t>
      </w:r>
    </w:p>
    <w:p>
      <w:pPr>
        <w:keepLines/>
        <w:spacing w:after="120" w:line="264"/>
        <w:jc w:val="both"/>
      </w:pPr>
      <w:r>
        <w:rPr>
          <w:rFonts w:ascii="Calibri" w:cs="Calibri" w:eastAsia="Calibri" w:hAnsi="Calibri"/>
          <w:sz w:val="22"/>
          <w:szCs w:val="22"/>
        </w:rPr>
        <w:t xml:space="preserve">Remote-participation evidence: The secretary authenticated the remote director through the board portal and two-factor access, confirmed continuous audio-video participation and reasonable opportunity to speak, recorded joining and leaving times and each vote, and retained the approved meeting log with the minutes. No director or trustee attended or voted by proxy.</w:t>
      </w:r>
    </w:p>
    <w:p>
      <w:pPr>
        <w:pStyle w:val="Heading2"/>
        <w:keepNext/>
        <w:spacing w:after="120" w:before="240"/>
      </w:pPr>
      <w:r>
        <w:rPr>
          <w:rFonts w:ascii="Calibri" w:cs="Calibri" w:eastAsia="Calibri" w:hAnsi="Calibri"/>
          <w:b/>
          <w:bCs/>
          <w:color w:val="102B3F"/>
          <w:sz w:val="26"/>
          <w:szCs w:val="26"/>
        </w:rPr>
        <w:t xml:space="preserve">BACKGROUND AND MATERIALS REVIEWED</w:t>
      </w:r>
    </w:p>
    <w:p>
      <w:pPr>
        <w:keepLines/>
        <w:spacing w:after="120" w:line="264"/>
        <w:jc w:val="both"/>
      </w:pPr>
      <w:r>
        <w:rPr>
          <w:rFonts w:ascii="Calibri" w:cs="Calibri" w:eastAsia="Calibri" w:hAnsi="Calibri"/>
          <w:sz w:val="22"/>
          <w:szCs w:val="22"/>
        </w:rPr>
        <w:t xml:space="preserve">Action and business purpose: Approve the final enterprise software subscription and implementation agreement between Bayanihan Retail Corporation and Ligtas Systems, Inc. for a maximum first-year commitment of PHP 4,800,000.</w:t>
      </w:r>
    </w:p>
    <w:p>
      <w:pPr>
        <w:keepLines/>
        <w:spacing w:after="120" w:line="264"/>
        <w:jc w:val="both"/>
      </w:pPr>
      <w:r>
        <w:rPr>
          <w:rFonts w:ascii="Calibri" w:cs="Calibri" w:eastAsia="Calibri" w:hAnsi="Calibri"/>
          <w:sz w:val="22"/>
          <w:szCs w:val="22"/>
        </w:rPr>
        <w:t xml:space="preserve">Material facts and findings: Management demonstrated the operational need, procurement comparison, approved budget, implementation plan, information-security and data-processing review, service levels, termination rights, total cost, and absence of undisclosed related-party interests.</w:t>
      </w:r>
    </w:p>
    <w:p>
      <w:pPr>
        <w:keepLines/>
        <w:spacing w:after="120" w:line="264"/>
        <w:jc w:val="both"/>
      </w:pPr>
      <w:r>
        <w:rPr>
          <w:rFonts w:ascii="Calibri" w:cs="Calibri" w:eastAsia="Calibri" w:hAnsi="Calibri"/>
          <w:sz w:val="22"/>
          <w:szCs w:val="22"/>
        </w:rPr>
        <w:t xml:space="preserve">Documents presented and incorporated only to the extent expressly stated: Final Ligtas Systems Enterprise Subscription and Implementation Agreement version 2026-08-29; pricing Schedule A; implementation Schedule B; DPA; security assessment; procurement comparison; budget certificate; legal review memorandum; and conflict declarations.</w:t>
      </w:r>
    </w:p>
    <w:p>
      <w:pPr>
        <w:pStyle w:val="Heading2"/>
        <w:keepNext/>
        <w:spacing w:after="120" w:before="240"/>
      </w:pPr>
      <w:r>
        <w:rPr>
          <w:rFonts w:ascii="Calibri" w:cs="Calibri" w:eastAsia="Calibri" w:hAnsi="Calibri"/>
          <w:b/>
          <w:bCs/>
          <w:color w:val="102B3F"/>
          <w:sz w:val="26"/>
          <w:szCs w:val="26"/>
        </w:rPr>
        <w:t xml:space="preserve">RESOLUTIONS</w:t>
      </w:r>
    </w:p>
    <w:p>
      <w:pPr>
        <w:keepLines/>
        <w:spacing w:after="120" w:line="264"/>
        <w:jc w:val="both"/>
      </w:pPr>
      <w:r>
        <w:rPr>
          <w:rFonts w:ascii="Calibri" w:cs="Calibri" w:eastAsia="Calibri" w:hAnsi="Calibri"/>
          <w:sz w:val="22"/>
          <w:szCs w:val="22"/>
        </w:rPr>
        <w:t xml:space="preserve">RESOLVED, that Bayanihan Retail Corporation approve the Ligtas Systems Enterprise Subscription and Implementation Agreement version 2026-08-29 for a first-year aggregate commitment not exceeding PHP 4,800,000 on the terms presented to the Board; RESOLVED FURTHER, that Laura M. Cruz, Chief Operating Officer, is authorized to sign that exact final agreement and its approved schedules and to perform the limited implementation acts stated below; RESOLVED FINALLY, that any material change requires renewed Board approval.</w:t>
      </w:r>
    </w:p>
    <w:p>
      <w:pPr>
        <w:keepLines/>
        <w:spacing w:after="120" w:line="264"/>
        <w:jc w:val="both"/>
      </w:pPr>
      <w:r>
        <w:rPr>
          <w:rFonts w:ascii="Calibri" w:cs="Calibri" w:eastAsia="Calibri" w:hAnsi="Calibri"/>
          <w:sz w:val="22"/>
          <w:szCs w:val="22"/>
        </w:rPr>
        <w:t xml:space="preserve">Authorized person: Laura M. Cruz, Chief Operating Officer. Scope: Sign the exact final agreement and approved schedules, issue implementation notices, identify authorized project personnel, approve milestone completion within the approved statement of work, and take ministerial acts reasonably necessary to implement the approved transaction.</w:t>
      </w:r>
    </w:p>
    <w:p>
      <w:pPr>
        <w:keepLines/>
        <w:spacing w:after="120" w:line="264"/>
        <w:jc w:val="both"/>
      </w:pPr>
      <w:r>
        <w:rPr>
          <w:rFonts w:ascii="Calibri" w:cs="Calibri" w:eastAsia="Calibri" w:hAnsi="Calibri"/>
          <w:sz w:val="22"/>
          <w:szCs w:val="22"/>
        </w:rPr>
        <w:t xml:space="preserve">Limits and controls: The authorized officer may not increase total first-year commitment above PHP 4,800,000, change the counterparty, extend the initial term beyond twenty-four months, add a guarantee or security interest, weaken liability or data-protection terms, waive material default, or change scope without renewed Board approval; payments require the existing dual-approval policy. Effective August 30, 2026 through February 28, 2027. Delegation: No substitution of signing authority is permitted. Ministerial filing, delivery, and project coordination may be assigned to named employees under Laura M. Cruz's supervision without expanding discretion or financial authority.</w:t>
      </w:r>
    </w:p>
    <w:p>
      <w:pPr>
        <w:keepLines/>
        <w:spacing w:after="120" w:line="264"/>
        <w:jc w:val="both"/>
      </w:pPr>
      <w:r>
        <w:rPr>
          <w:rFonts w:ascii="Calibri" w:cs="Calibri" w:eastAsia="Calibri" w:hAnsi="Calibri"/>
          <w:sz w:val="22"/>
          <w:szCs w:val="22"/>
        </w:rPr>
        <w:t xml:space="preserve">No banking or borrowing authority is implied unless expressly and exactly stated in the adopted resolution.</w:t>
      </w:r>
    </w:p>
    <w:p>
      <w:pPr>
        <w:pStyle w:val="Heading2"/>
        <w:keepNext/>
        <w:spacing w:after="120" w:before="240"/>
      </w:pPr>
      <w:r>
        <w:rPr>
          <w:rFonts w:ascii="Calibri" w:cs="Calibri" w:eastAsia="Calibri" w:hAnsi="Calibri"/>
          <w:b/>
          <w:bCs/>
          <w:color w:val="102B3F"/>
          <w:sz w:val="26"/>
          <w:szCs w:val="26"/>
        </w:rPr>
        <w:t xml:space="preserve">VOTE AND CONFLICT RECORD</w:t>
      </w:r>
    </w:p>
    <w:p>
      <w:pPr>
        <w:keepLines/>
        <w:spacing w:after="120" w:line="264"/>
        <w:jc w:val="both"/>
      </w:pPr>
      <w:r>
        <w:rPr>
          <w:rFonts w:ascii="Calibri" w:cs="Calibri" w:eastAsia="Calibri" w:hAnsi="Calibri"/>
          <w:sz w:val="22"/>
          <w:szCs w:val="22"/>
        </w:rPr>
        <w:t xml:space="preserve">Rule applied: majority of the directors or trustees present at a meeting with a quorum. Vote: 4 for; 0 against; 0 abstention(s) or recusal(s). Dissent and objections: All four directors present voted in favor after discussion. No dissent, objection, abstention, recusal, departure, or qualified vote was recorded.</w:t>
      </w:r>
    </w:p>
    <w:p>
      <w:pPr>
        <w:keepLines/>
        <w:spacing w:after="120" w:line="264"/>
        <w:jc w:val="both"/>
      </w:pPr>
      <w:r>
        <w:rPr>
          <w:rFonts w:ascii="Calibri" w:cs="Calibri" w:eastAsia="Calibri" w:hAnsi="Calibri"/>
          <w:sz w:val="22"/>
          <w:szCs w:val="22"/>
        </w:rPr>
        <w:t xml:space="preserve">No director, trustee, officer, spouse, covered relative, affiliate, or interlocking-director interest is recorded for this action; that statement must be corrected if any interest existed.</w:t>
      </w:r>
    </w:p>
    <w:p>
      <w:pPr>
        <w:keepLines/>
        <w:spacing w:after="120" w:line="264"/>
        <w:jc w:val="both"/>
      </w:pPr>
      <w:r>
        <w:rPr>
          <w:rFonts w:ascii="Calibri" w:cs="Calibri" w:eastAsia="Calibri" w:hAnsi="Calibri"/>
          <w:sz w:val="22"/>
          <w:szCs w:val="22"/>
        </w:rPr>
        <w:t xml:space="preserve">An interested person's presence or vote is not treated as curing the Section 31 requirements. Any missing condition requires the exact lawful stockholder/member ratification and full disclosure route before reliance.</w:t>
      </w:r>
    </w:p>
    <w:p>
      <w:pPr>
        <w:pStyle w:val="Heading2"/>
        <w:keepNext/>
        <w:spacing w:after="120" w:before="240"/>
      </w:pPr>
      <w:r>
        <w:rPr>
          <w:rFonts w:ascii="Calibri" w:cs="Calibri" w:eastAsia="Calibri" w:hAnsi="Calibri"/>
          <w:b/>
          <w:bCs/>
          <w:color w:val="102B3F"/>
          <w:sz w:val="26"/>
          <w:szCs w:val="26"/>
        </w:rPr>
        <w:t xml:space="preserve">HIGHER APPROVALS, FILINGS, AND EFFECT</w:t>
      </w:r>
    </w:p>
    <w:p>
      <w:pPr>
        <w:keepLines/>
        <w:spacing w:after="120" w:line="264"/>
        <w:jc w:val="both"/>
      </w:pPr>
      <w:r>
        <w:rPr>
          <w:rFonts w:ascii="Calibri" w:cs="Calibri" w:eastAsia="Calibri" w:hAnsi="Calibri"/>
          <w:sz w:val="22"/>
          <w:szCs w:val="22"/>
        </w:rPr>
        <w:t xml:space="preserve">Additional approval route: none. No additional stockholder, member, or regulator approval is represented as required after the documented transaction-specific analysis; recipient and filing requirements still apply.</w:t>
      </w:r>
    </w:p>
    <w:p>
      <w:pPr>
        <w:keepLines/>
        <w:spacing w:after="120" w:line="264"/>
        <w:jc w:val="both"/>
      </w:pPr>
      <w:r>
        <w:rPr>
          <w:rFonts w:ascii="Calibri" w:cs="Calibri" w:eastAsia="Calibri" w:hAnsi="Calibri"/>
          <w:sz w:val="22"/>
          <w:szCs w:val="22"/>
        </w:rPr>
        <w:t xml:space="preserve">No appraisal-right route is stated after the documented analysis; recheck if the action alters share rights, term, substantially all assets, merger/consolidation, or investment outside the primary purpose.</w:t>
      </w:r>
    </w:p>
    <w:p>
      <w:pPr>
        <w:keepLines/>
        <w:spacing w:after="120" w:line="264"/>
        <w:jc w:val="both"/>
      </w:pPr>
      <w:r>
        <w:rPr>
          <w:rFonts w:ascii="Calibri" w:cs="Calibri" w:eastAsia="Calibri" w:hAnsi="Calibri"/>
          <w:sz w:val="22"/>
          <w:szCs w:val="22"/>
        </w:rPr>
        <w:t xml:space="preserve">No government filing is stated as required after the documented analysis; transaction, tax, licensing, registry, and recipient requirements must still be rechecked.</w:t>
      </w:r>
    </w:p>
    <w:p>
      <w:pPr>
        <w:keepLines/>
        <w:spacing w:after="120" w:line="264"/>
        <w:jc w:val="both"/>
      </w:pPr>
      <w:r>
        <w:rPr>
          <w:rFonts w:ascii="Calibri" w:cs="Calibri" w:eastAsia="Calibri" w:hAnsi="Calibri"/>
          <w:sz w:val="22"/>
          <w:szCs w:val="22"/>
        </w:rPr>
        <w:t xml:space="preserve">Recipient requirements: Ligtas Systems accepts a notarized Secretary's Certificate issued within thirty days, containing the exact resolution, incumbent secretary statement, corporate SEC number, and attached approved agreement; no bank or regulator form applies.</w:t>
      </w:r>
    </w:p>
    <w:p>
      <w:pPr>
        <w:pStyle w:val="Heading2"/>
        <w:keepNext/>
        <w:spacing w:after="120" w:before="240"/>
      </w:pPr>
      <w:r>
        <w:rPr>
          <w:rFonts w:ascii="Calibri" w:cs="Calibri" w:eastAsia="Calibri" w:hAnsi="Calibri"/>
          <w:b/>
          <w:bCs/>
          <w:color w:val="102B3F"/>
          <w:sz w:val="26"/>
          <w:szCs w:val="26"/>
        </w:rPr>
        <w:t xml:space="preserve">CONTINUING CERTIFICATION AND RECORDS</w:t>
      </w:r>
    </w:p>
    <w:p>
      <w:pPr>
        <w:keepLines/>
        <w:spacing w:after="120" w:line="264"/>
        <w:jc w:val="both"/>
      </w:pPr>
      <w:r>
        <w:rPr>
          <w:rFonts w:ascii="Calibri" w:cs="Calibri" w:eastAsia="Calibri" w:hAnsi="Calibri"/>
          <w:sz w:val="22"/>
          <w:szCs w:val="22"/>
        </w:rPr>
        <w:t xml:space="preserve">As of August 30, 2026, the resolution is certified as continuing, unamended, unrevoked, unsuperseded, and unexpired. Corporate-book reference: Board Minutes Book 2026, Special Meeting Entry No. 08-30, pages 84–92, signed on 30 August 2026 and held by Corporate Secretary Maria L. Santos.</w:t>
      </w:r>
    </w:p>
    <w:p>
      <w:pPr>
        <w:keepLines/>
        <w:spacing w:after="120" w:line="264"/>
        <w:jc w:val="both"/>
      </w:pPr>
      <w:r>
        <w:rPr>
          <w:rFonts w:ascii="Calibri" w:cs="Calibri" w:eastAsia="Calibri" w:hAnsi="Calibri"/>
          <w:sz w:val="22"/>
          <w:szCs w:val="22"/>
        </w:rPr>
        <w:t xml:space="preserve">Purpose and permitted reliance: Issued to Ligtas Systems, Inc. solely as evidence of Bayanihan Retail Corporation's approval of and authority to execute the identified agreement version 2026-08-29. Attachments: Attach the exact agreement version 2026-08-29 with Schedules A and B, DPA, and the approved authority and signing matrix; each copy is identified by the corporate record hash. An unattached or changed transaction document is not silently incorporated.</w:t>
      </w:r>
    </w:p>
    <w:p>
      <w:pPr>
        <w:keepLines/>
        <w:spacing w:after="120" w:line="264"/>
        <w:jc w:val="both"/>
      </w:pPr>
      <w:r>
        <w:rPr>
          <w:rFonts w:ascii="Calibri" w:cs="Calibri" w:eastAsia="Calibri" w:hAnsi="Calibri"/>
          <w:sz w:val="22"/>
          <w:szCs w:val="22"/>
        </w:rPr>
        <w:t xml:space="preserve">Execution route: notarized paper. Electronic or notarized execution is used only when lawful and accepted, with attribution, authority, personal appearance where required, identity, integrity, completeness, delivery, and retention evidence.</w:t>
      </w:r>
    </w:p>
    <w:p>
      <w:pPr>
        <w:keepNext/>
        <w:spacing w:after="260" w:before="360"/>
      </w:pPr>
      <w:r>
        <w:rPr>
          <w:rFonts w:ascii="Calibri" w:cs="Calibri" w:eastAsia="Calibri" w:hAnsi="Calibri"/>
          <w:b/>
          <w:bCs/>
          <w:sz w:val="22"/>
          <w:szCs w:val="22"/>
        </w:rPr>
        <w:t xml:space="preserve">Sign only after the final minutes, vote, approvals, attachments, and continuing-effect statement have been verified against the corporate books:</w:t>
      </w:r>
    </w:p>
    <w:tbl>
      <w:tblPr>
        <w:tblW w:type="dxa" w:w="936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80"/>
        <w:gridCol w:w="4680"/>
      </w:tblGrid>
      <w:tr>
        <w:trPr>
          <w:cantSplit/>
        </w:trPr>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CORPORATE SECRETARY</w:t>
            </w:r>
          </w:p>
          <w:p>
            <w:pPr>
              <w:spacing w:after="120"/>
            </w:pPr>
            <w:r>
              <w:rPr>
                <w:rFonts w:ascii="Calibri" w:cs="Calibri" w:eastAsia="Calibri" w:hAnsi="Calibri"/>
                <w:sz w:val="22"/>
                <w:szCs w:val="22"/>
              </w:rPr>
              <w:t xml:space="preserve">Maria L. Santos</w:t>
            </w:r>
          </w:p>
          <w:p>
            <w:pPr>
              <w:spacing w:after="120"/>
            </w:pPr>
            <w:r>
              <w:rPr>
                <w:rFonts w:ascii="Calibri" w:cs="Calibri" w:eastAsia="Calibri" w:hAnsi="Calibri"/>
                <w:sz w:val="22"/>
                <w:szCs w:val="22"/>
              </w:rPr>
              <w:t xml:space="preserve">Certification signed at Makati City on August 30, 2026 · signature</w:t>
            </w:r>
          </w:p>
          <w:p>
            <w:r>
              <w:rPr>
                <w:rFonts w:ascii="Calibri" w:cs="Calibri" w:eastAsia="Calibri" w:hAnsi="Calibri"/>
                <w:sz w:val="22"/>
                <w:szCs w:val="22"/>
              </w:rPr>
              <w:t xml:space="preserve">Date: ______________________________</w:t>
            </w:r>
          </w:p>
        </w:tc>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
            </w:r>
          </w:p>
          <w:p>
            <w:pPr>
              <w:spacing w:after="120"/>
            </w:pPr>
            <w:r>
              <w:rPr>
                <w:rFonts w:ascii="Calibri" w:cs="Calibri" w:eastAsia="Calibri" w:hAnsi="Calibri"/>
                <w:sz w:val="22"/>
                <w:szCs w:val="22"/>
              </w:rPr>
              <w:t xml:space="preserve"/>
            </w:r>
          </w:p>
          <w:p>
            <w:pPr>
              <w:spacing w:after="120"/>
            </w:pPr>
            <w:r>
              <w:rPr>
                <w:rFonts w:ascii="Calibri" w:cs="Calibri" w:eastAsia="Calibri" w:hAnsi="Calibri"/>
                <w:sz w:val="22"/>
                <w:szCs w:val="22"/>
              </w:rPr>
              <w:t xml:space="preserve"/>
            </w:r>
          </w:p>
          <w:p>
            <w:r>
              <w:rPr>
                <w:rFonts w:ascii="Calibri" w:cs="Calibri" w:eastAsia="Calibri" w:hAnsi="Calibri"/>
                <w:sz w:val="22"/>
                <w:szCs w:val="22"/>
              </w:rPr>
              <w:t xml:space="preserve"/>
            </w:r>
          </w:p>
        </w:tc>
      </w:tr>
    </w:tbl>
    <w:p>
      <w:pPr>
        <w:pStyle w:val="Heading2"/>
        <w:keepNext/>
        <w:spacing w:after="120" w:before="240"/>
      </w:pPr>
      <w:r>
        <w:rPr>
          <w:rFonts w:ascii="Calibri" w:cs="Calibri" w:eastAsia="Calibri" w:hAnsi="Calibri"/>
          <w:b/>
          <w:bCs/>
          <w:color w:val="102B3F"/>
          <w:sz w:val="26"/>
          <w:szCs w:val="26"/>
        </w:rPr>
        <w:t xml:space="preserve">JURAT — FOR THE NOTARIAL OFFICER TO COMPLETE</w:t>
      </w:r>
    </w:p>
    <w:p>
      <w:pPr>
        <w:keepLines/>
        <w:spacing w:after="120" w:line="264"/>
        <w:jc w:val="both"/>
      </w:pPr>
      <w:r>
        <w:rPr>
          <w:rFonts w:ascii="Calibri" w:cs="Calibri" w:eastAsia="Calibri" w:hAnsi="Calibri"/>
          <w:sz w:val="22"/>
          <w:szCs w:val="22"/>
        </w:rPr>
        <w:t xml:space="preserve">REPUBLIC OF THE PHILIPPINES )
MAKATI CITY ) S.S.</w:t>
      </w:r>
    </w:p>
    <w:p>
      <w:pPr>
        <w:keepLines/>
        <w:spacing w:after="120" w:line="264"/>
        <w:jc w:val="both"/>
      </w:pPr>
      <w:r>
        <w:rPr>
          <w:rFonts w:ascii="Calibri" w:cs="Calibri" w:eastAsia="Calibri" w:hAnsi="Calibri"/>
          <w:sz w:val="22"/>
          <w:szCs w:val="22"/>
        </w:rPr>
        <w:t xml:space="preserve">SUBSCRIBED AND SWORN to before me on __________________ at Makati City, Philippines, by Maria L. Santos, Corporate Secretary of Bayanihan Retail Corporation, who personally appeared, signed this Secretary's Certificate in my presence, took an oath as to its contents, and was identified through competent evidence of identity, as follows:</w:t>
      </w:r>
    </w:p>
    <w:p>
      <w:pPr>
        <w:keepLines/>
        <w:spacing w:after="120" w:line="264"/>
        <w:jc w:val="both"/>
      </w:pPr>
      <w:r>
        <w:rPr>
          <w:rFonts w:ascii="Calibri" w:cs="Calibri" w:eastAsia="Calibri" w:hAnsi="Calibri"/>
          <w:sz w:val="22"/>
          <w:szCs w:val="22"/>
        </w:rPr>
        <w:t xml:space="preserve">Maria L. Santos: competent evidence of identity __________________ / ID No. __________________ / issued at and on __________________ / valid until __________________</w:t>
      </w:r>
    </w:p>
    <w:p>
      <w:pPr>
        <w:keepLines/>
        <w:spacing w:after="120" w:line="264"/>
        <w:jc w:val="both"/>
      </w:pPr>
      <w:r>
        <w:rPr>
          <w:rFonts w:ascii="Calibri" w:cs="Calibri" w:eastAsia="Calibri" w:hAnsi="Calibri"/>
          <w:sz w:val="22"/>
          <w:szCs w:val="22"/>
        </w:rPr>
        <w:t xml:space="preserve">Identity evidence the signer expects to present: Philippine Passport ending 4821, valid through 18 June 2031, inspected only upon actual personal appearance; record complete details only in the notarial register and accepted certificate. The notary records the actual particulars only upon personal appearance.</w:t>
      </w:r>
    </w:p>
    <w:p>
      <w:pPr>
        <w:keepLines/>
        <w:spacing w:after="120" w:line="264"/>
        <w:jc w:val="both"/>
      </w:pPr>
      <w:r>
        <w:rPr>
          <w:rFonts w:ascii="Calibri" w:cs="Calibri" w:eastAsia="Calibri" w:hAnsi="Calibri"/>
          <w:sz w:val="22"/>
          <w:szCs w:val="22"/>
        </w:rPr>
        <w:t xml:space="preserve">NOTARY PUBLIC
Notary Public for __________________ until December 31, 20____
Commission No.: __________________
Roll of Attorneys No.: __________________
PTR No.: __________ / date: __________ / place: __________
IBP No.: __________ / date: __________
Office address: __________________
Doc. No.: ______; Page No.: ______; Book No.: ______; Series of ______.</w:t>
      </w:r>
    </w:p>
    <w:p>
      <w:pPr>
        <w:pStyle w:val="Heading2"/>
        <w:keepNext/>
        <w:pageBreakBefore/>
        <w:spacing w:after="140"/>
      </w:pPr>
      <w:r>
        <w:rPr>
          <w:rFonts w:ascii="Calibri" w:cs="Calibri" w:eastAsia="Calibri" w:hAnsi="Calibri"/>
          <w:b/>
          <w:bCs/>
          <w:color w:val="102B3F"/>
          <w:sz w:val="26"/>
          <w:szCs w:val="26"/>
        </w:rPr>
        <w:t xml:space="preserve">LAW.PH PRE-SIGNING GUIDANCE — NOT PART OF THE EXECUTION INSTRUMENT</w:t>
      </w:r>
    </w:p>
    <w:p>
      <w:pPr>
        <w:keepNext/>
        <w:spacing w:after="220" w:line="252"/>
      </w:pPr>
      <w:r>
        <w:rPr>
          <w:rFonts w:ascii="Calibri" w:cs="Calibri" w:eastAsia="Calibri" w:hAnsi="Calibri"/>
          <w:b/>
          <w:bCs/>
          <w:color w:val="8A5A12"/>
          <w:sz w:val="20"/>
          <w:szCs w:val="20"/>
        </w:rPr>
        <w:t xml:space="preserve">The draft instrument ends before this page. The checklist and legal-source record that follow are preparation guidance only: they are not promises, recitals, schedules, annexes, exhibits, attestations, acknowledgments, jurats, or other operative parts of the instrument, and they must not be included in its execution page count.</w:t>
      </w:r>
    </w:p>
    <w:p>
      <w:pPr>
        <w:pStyle w:val="Heading2"/>
        <w:keepNext/>
        <w:spacing w:after="140" w:before="120"/>
      </w:pPr>
      <w:r>
        <w:rPr>
          <w:rFonts w:ascii="Calibri" w:cs="Calibri" w:eastAsia="Calibri" w:hAnsi="Calibri"/>
          <w:b/>
          <w:bCs/>
          <w:color w:val="102B3F"/>
          <w:sz w:val="26"/>
          <w:szCs w:val="26"/>
        </w:rPr>
        <w:t xml:space="preserve">PRE-SIGNING CHECKLIST</w:t>
      </w:r>
    </w:p>
    <w:p>
      <w:pPr>
        <w:pStyle w:val="ListParagraph"/>
        <w:keepNext/>
        <w:numPr>
          <w:ilvl w:val="0"/>
          <w:numId w:val="1"/>
        </w:numPr>
        <w:spacing w:after="120" w:line="264"/>
      </w:pPr>
      <w:r>
        <w:rPr>
          <w:rFonts w:ascii="Calibri" w:cs="Calibri" w:eastAsia="Calibri" w:hAnsi="Calibri"/>
          <w:sz w:val="22"/>
          <w:szCs w:val="22"/>
        </w:rPr>
        <w:t xml:space="preserve">Compare the exact registered name, SEC number, corporation type, principal office, articles, bylaws, amendments, shareholder/member agreements, board size, incumbency, and authority against current official and corporate records.</w:t>
      </w:r>
    </w:p>
    <w:p>
      <w:pPr>
        <w:pStyle w:val="ListParagraph"/>
        <w:keepNext/>
        <w:numPr>
          <w:ilvl w:val="0"/>
          <w:numId w:val="1"/>
        </w:numPr>
        <w:spacing w:after="120" w:line="264"/>
      </w:pPr>
      <w:r>
        <w:rPr>
          <w:rFonts w:ascii="Calibri" w:cs="Calibri" w:eastAsia="Calibri" w:hAnsi="Calibri"/>
          <w:sz w:val="22"/>
          <w:szCs w:val="22"/>
        </w:rPr>
        <w:t xml:space="preserve">Attach the meeting notice and agenda, delivery proof, waivers or objections, attendance and identity record, remote procedures and logs, joining/leaving times, quorum computation, vote tabulation, recusals, and signed minutes or written action.</w:t>
      </w:r>
    </w:p>
    <w:p>
      <w:pPr>
        <w:pStyle w:val="ListParagraph"/>
        <w:keepNext/>
        <w:numPr>
          <w:ilvl w:val="0"/>
          <w:numId w:val="1"/>
        </w:numPr>
        <w:spacing w:after="120" w:line="264"/>
      </w:pPr>
      <w:r>
        <w:rPr>
          <w:rFonts w:ascii="Calibri" w:cs="Calibri" w:eastAsia="Calibri" w:hAnsi="Calibri"/>
          <w:sz w:val="22"/>
          <w:szCs w:val="22"/>
        </w:rPr>
        <w:t xml:space="preserve">For an ordinary corporation, do not substitute informal email consent for a properly called board meeting; use Section 100 only for a qualifying close corporation and Section 128 only for an OPC record in lieu of meeting.</w:t>
      </w:r>
    </w:p>
    <w:p>
      <w:pPr>
        <w:pStyle w:val="ListParagraph"/>
        <w:keepNext/>
        <w:numPr>
          <w:ilvl w:val="0"/>
          <w:numId w:val="1"/>
        </w:numPr>
        <w:spacing w:after="120" w:line="264"/>
      </w:pPr>
      <w:r>
        <w:rPr>
          <w:rFonts w:ascii="Calibri" w:cs="Calibri" w:eastAsia="Calibri" w:hAnsi="Calibri"/>
          <w:sz w:val="22"/>
          <w:szCs w:val="22"/>
        </w:rPr>
        <w:t xml:space="preserve">Confirm that no director or trustee attended or voted by proxy; verify that remote participants had a reasonable opportunity to participate and that the current SEC remote-meeting procedures were followed.</w:t>
      </w:r>
    </w:p>
    <w:p>
      <w:pPr>
        <w:pStyle w:val="ListParagraph"/>
        <w:keepNext/>
        <w:numPr>
          <w:ilvl w:val="0"/>
          <w:numId w:val="1"/>
        </w:numPr>
        <w:spacing w:after="120" w:line="264"/>
      </w:pPr>
      <w:r>
        <w:rPr>
          <w:rFonts w:ascii="Calibri" w:cs="Calibri" w:eastAsia="Calibri" w:hAnsi="Calibri"/>
          <w:sz w:val="22"/>
          <w:szCs w:val="22"/>
        </w:rPr>
        <w:t xml:space="preserve">Recalculate quorum and approval from the board size stated in the articles and every valid higher rule; officer elections require a majority of the entire board.</w:t>
      </w:r>
    </w:p>
    <w:p>
      <w:pPr>
        <w:pStyle w:val="ListParagraph"/>
        <w:keepNext/>
        <w:numPr>
          <w:ilvl w:val="0"/>
          <w:numId w:val="1"/>
        </w:numPr>
        <w:spacing w:after="120" w:line="264"/>
      </w:pPr>
      <w:r>
        <w:rPr>
          <w:rFonts w:ascii="Calibri" w:cs="Calibri" w:eastAsia="Calibri" w:hAnsi="Calibri"/>
          <w:sz w:val="22"/>
          <w:szCs w:val="22"/>
        </w:rPr>
        <w:t xml:space="preserve">For related-party or interlocking-director transactions, preserve full disclosure, recusal, quorum and vote without the interested person where required, fairness evidence, independent-director approval for covered public-interest corporations, and any two-thirds ratification route.</w:t>
      </w:r>
    </w:p>
    <w:p>
      <w:pPr>
        <w:pStyle w:val="ListParagraph"/>
        <w:keepNext/>
        <w:numPr>
          <w:ilvl w:val="0"/>
          <w:numId w:val="1"/>
        </w:numPr>
        <w:spacing w:after="120" w:line="264"/>
      </w:pPr>
      <w:r>
        <w:rPr>
          <w:rFonts w:ascii="Calibri" w:cs="Calibri" w:eastAsia="Calibri" w:hAnsi="Calibri"/>
          <w:sz w:val="22"/>
          <w:szCs w:val="22"/>
        </w:rPr>
        <w:t xml:space="preserve">Analyze action-specific owner/member and regulator thresholds for articles/bylaws, shares or capital, substantially all assets, non-primary-purpose investment, stock dividends, management contracts, merger/consolidation, dissolution, guarantees, regulated activity, and appraisal rights.</w:t>
      </w:r>
    </w:p>
    <w:p>
      <w:pPr>
        <w:pStyle w:val="ListParagraph"/>
        <w:keepNext/>
        <w:numPr>
          <w:ilvl w:val="0"/>
          <w:numId w:val="1"/>
        </w:numPr>
        <w:spacing w:after="120" w:line="264"/>
      </w:pPr>
      <w:r>
        <w:rPr>
          <w:rFonts w:ascii="Calibri" w:cs="Calibri" w:eastAsia="Calibri" w:hAnsi="Calibri"/>
          <w:sz w:val="22"/>
          <w:szCs w:val="22"/>
        </w:rPr>
        <w:t xml:space="preserve">Attach and hash or otherwise identify the exact final contract, account/facility form, authority matrix, specimen signatures, budget, diligence, regulatory approval, and schedules the board actually reviewed; material changes need renewed approval.</w:t>
      </w:r>
    </w:p>
    <w:p>
      <w:pPr>
        <w:pStyle w:val="ListParagraph"/>
        <w:keepNext/>
        <w:numPr>
          <w:ilvl w:val="0"/>
          <w:numId w:val="1"/>
        </w:numPr>
        <w:spacing w:after="120" w:line="264"/>
      </w:pPr>
      <w:r>
        <w:rPr>
          <w:rFonts w:ascii="Calibri" w:cs="Calibri" w:eastAsia="Calibri" w:hAnsi="Calibri"/>
          <w:sz w:val="22"/>
          <w:szCs w:val="22"/>
        </w:rPr>
        <w:t xml:space="preserve">Check the recipient's current prescribed form, original/copy, freshness, notarization, signature, specimen, board-resolution, filing, apostille/consular, and supporting-document rules before signing or paying for notarization.</w:t>
      </w:r>
    </w:p>
    <w:p>
      <w:pPr>
        <w:pStyle w:val="ListParagraph"/>
        <w:keepNext w:val="false"/>
        <w:numPr>
          <w:ilvl w:val="0"/>
          <w:numId w:val="1"/>
        </w:numPr>
        <w:spacing w:after="120" w:line="264"/>
      </w:pPr>
      <w:r>
        <w:rPr>
          <w:rFonts w:ascii="Calibri" w:cs="Calibri" w:eastAsia="Calibri" w:hAnsi="Calibri"/>
          <w:sz w:val="22"/>
          <w:szCs w:val="22"/>
        </w:rPr>
        <w:t xml:space="preserve">Enter the action and signed record in the correct corporate minutes book, retain evidence, complete required SEC/GIS/officer or transaction filings by current deadlines, and never certify filing, acceptance, notarization, or effectiveness before it occurs.</w:t>
      </w:r>
    </w:p>
    <w:p>
      <w:pPr>
        <w:pStyle w:val="Heading2"/>
        <w:keepNext/>
        <w:pageBreakBefore/>
        <w:spacing w:after="140"/>
      </w:pPr>
      <w:r>
        <w:rPr>
          <w:rFonts w:ascii="Calibri" w:cs="Calibri" w:eastAsia="Calibri" w:hAnsi="Calibri"/>
          <w:b/>
          <w:bCs/>
          <w:color w:val="102B3F"/>
          <w:sz w:val="26"/>
          <w:szCs w:val="26"/>
        </w:rPr>
        <w:t xml:space="preserve">TEMPLATE AND LEGAL SOURCE RECORD — NOT PART OF THE INSTRUMENT</w:t>
      </w:r>
    </w:p>
    <w:p>
      <w:pPr>
        <w:spacing w:after="220" w:line="240"/>
      </w:pPr>
      <w:r>
        <w:rPr>
          <w:rFonts w:ascii="Calibri" w:cs="Calibri" w:eastAsia="Calibri" w:hAnsi="Calibri"/>
          <w:color w:val="566674"/>
          <w:sz w:val="18"/>
          <w:szCs w:val="18"/>
        </w:rPr>
        <w:t xml:space="preserve">Template v0.2.0 | Republic of the Philippines | Effective 2026-08-30 onward, subject to the recorded review cycle | Engineering draft · independent Philippine corporate-lawyer review pending | Last legal check 2026-10-01 | Next review due 2026-10-31</w:t>
      </w:r>
    </w:p>
    <w:p>
      <w:pPr>
        <w:keepNext/>
        <w:spacing w:after="60" w:before="100"/>
      </w:pPr>
      <w:r>
        <w:rPr>
          <w:rFonts w:ascii="Calibri" w:cs="Calibri" w:eastAsia="Calibri" w:hAnsi="Calibri"/>
          <w:b/>
          <w:bCs/>
          <w:sz w:val="18"/>
          <w:szCs w:val="18"/>
        </w:rPr>
        <w:t xml:space="preserve">Republic Act No. 11232 — Revised Corporation Code of the Philippines - Sections 22–34, 35–44, 46–53, 80–81, 99–100, 119–129, and 134–136 — board powers, officers, conflicts, corporate acts, meetings, quorum, remote participation, special approvals, close corporations, OPC records, and dissolution; Sec. 52 (notice at least two days before a board meeting unless the bylaws require longer, waivable by each director) (checked 2026-10-01)</w:t>
      </w:r>
    </w:p>
    <w:p>
      <w:pPr>
        <w:spacing w:after="120"/>
      </w:pPr>
      <w:hyperlink w:history="1" r:id="rIdqb5u90-uaky8goluis4b0">
        <w:r>
          <w:rPr>
            <w:rFonts w:ascii="Calibri" w:cs="Calibri" w:eastAsia="Calibri" w:hAnsi="Calibri"/>
            <w:color w:val="315B75"/>
            <w:sz w:val="17"/>
            <w:szCs w:val="17"/>
            <w:u w:val="single"/>
          </w:rPr>
          <w:t xml:space="preserve">https://lawphil.net/statutes/repacts/ra2019/ra_11232_2019.html</w:t>
        </w:r>
      </w:hyperlink>
    </w:p>
    <w:p>
      <w:pPr>
        <w:keepNext/>
        <w:spacing w:after="60" w:before="100"/>
      </w:pPr>
      <w:r>
        <w:rPr>
          <w:rFonts w:ascii="Calibri" w:cs="Calibri" w:eastAsia="Calibri" w:hAnsi="Calibri"/>
          <w:b/>
          <w:bCs/>
          <w:sz w:val="18"/>
          <w:szCs w:val="18"/>
        </w:rPr>
        <w:t xml:space="preserve">Republic Act No. 11232 — Official Gazette print - Sec. 31 (p. 22): a contract with a director, trustee, officer, or their spouse or relative within the fourth civil degree is voidable unless the interested person's presence was not needed for quorum, the vote was not needed for approval, the contract is fair and reasonable, and, for corporations vested with public interest, material contracts are approved by at least two-thirds of the entire board with at least a majority of the independent directors; ratification by two-thirds of the outstanding capital stock or members with full disclosure (checked 2026-10-01)</w:t>
      </w:r>
    </w:p>
    <w:p>
      <w:pPr>
        <w:spacing w:after="120"/>
      </w:pPr>
      <w:hyperlink w:history="1" r:id="rIdufywfotz7bfenpwxgk5ov">
        <w:r>
          <w:rPr>
            <w:rFonts w:ascii="Calibri" w:cs="Calibri" w:eastAsia="Calibri" w:hAnsi="Calibri"/>
            <w:color w:val="315B75"/>
            <w:sz w:val="17"/>
            <w:szCs w:val="17"/>
            <w:u w:val="single"/>
          </w:rPr>
          <w:t xml:space="preserve">https://www.officialgazette.gov.ph/downloads/2019/02feb/20190220-RA-11232-RRD.pdf</w:t>
        </w:r>
      </w:hyperlink>
    </w:p>
    <w:p>
      <w:pPr>
        <w:keepNext/>
        <w:spacing w:after="60" w:before="100"/>
      </w:pPr>
      <w:r>
        <w:rPr>
          <w:rFonts w:ascii="Calibri" w:cs="Calibri" w:eastAsia="Calibri" w:hAnsi="Calibri"/>
          <w:b/>
          <w:bCs/>
          <w:sz w:val="18"/>
          <w:szCs w:val="18"/>
        </w:rPr>
        <w:t xml:space="preserve">SEC Memorandum Circular No. 6, Series of 2020 — Remote Meetings - Attendance, identity, participation, voting, recording, minutes, notices, and procedures for meetings through remote or electronic means (checked 2026-08-30)</w:t>
      </w:r>
    </w:p>
    <w:p>
      <w:pPr>
        <w:spacing w:after="120"/>
      </w:pPr>
      <w:hyperlink w:history="1" r:id="rIdebtj9vxl-_saq8racgsle">
        <w:r>
          <w:rPr>
            <w:rFonts w:ascii="Calibri" w:cs="Calibri" w:eastAsia="Calibri" w:hAnsi="Calibri"/>
            <w:color w:val="315B75"/>
            <w:sz w:val="17"/>
            <w:szCs w:val="17"/>
            <w:u w:val="single"/>
          </w:rPr>
          <w:t xml:space="preserve">https://www.sec.gov.ph/wp-content/uploads/2020/03/2020MCNo06.pdf</w:t>
        </w:r>
      </w:hyperlink>
    </w:p>
    <w:p>
      <w:pPr>
        <w:keepNext/>
        <w:spacing w:after="60" w:before="100"/>
      </w:pPr>
      <w:r>
        <w:rPr>
          <w:rFonts w:ascii="Calibri" w:cs="Calibri" w:eastAsia="Calibri" w:hAnsi="Calibri"/>
          <w:b/>
          <w:bCs/>
          <w:sz w:val="18"/>
          <w:szCs w:val="18"/>
        </w:rPr>
        <w:t xml:space="preserve">SEC eFAST Frequently Asked Questions — Proof of Authority - Current eFAST proof-of-authority choice, signatures, templates, and notarization guidance for board resolutions and secretary's certificates (checked 2026-08-30)</w:t>
      </w:r>
    </w:p>
    <w:p>
      <w:pPr>
        <w:spacing w:after="120"/>
      </w:pPr>
      <w:hyperlink w:history="1" r:id="rIddcrdliwsnq5pfge_2s5nz">
        <w:r>
          <w:rPr>
            <w:rFonts w:ascii="Calibri" w:cs="Calibri" w:eastAsia="Calibri" w:hAnsi="Calibri"/>
            <w:color w:val="315B75"/>
            <w:sz w:val="17"/>
            <w:szCs w:val="17"/>
            <w:u w:val="single"/>
          </w:rPr>
          <w:t xml:space="preserve">https://efast.sec.gov.ph/faqs</w:t>
        </w:r>
      </w:hyperlink>
    </w:p>
    <w:p>
      <w:pPr>
        <w:keepNext/>
        <w:spacing w:after="60" w:before="100"/>
      </w:pPr>
      <w:r>
        <w:rPr>
          <w:rFonts w:ascii="Calibri" w:cs="Calibri" w:eastAsia="Calibri" w:hAnsi="Calibri"/>
          <w:b/>
          <w:bCs/>
          <w:sz w:val="18"/>
          <w:szCs w:val="18"/>
        </w:rPr>
        <w:t xml:space="preserve">A.M. No. 02-8-13-SC — 2004 Rules on Notarial Practice - Personal appearance, competent identity evidence, jurat and acknowledgment (Rule II, Sec. 1, including a representative's authority to sign in that capacity), notarial certificate (Rule VIII, Sec. 2), register (Rule VI, Sec. 2), and prohibited acts (checked 2026-10-01)</w:t>
      </w:r>
    </w:p>
    <w:p>
      <w:pPr>
        <w:spacing w:after="120"/>
      </w:pPr>
      <w:hyperlink w:history="1" r:id="rIdobmv10e1kw2prp5m1jnkp">
        <w:r>
          <w:rPr>
            <w:rFonts w:ascii="Calibri" w:cs="Calibri" w:eastAsia="Calibri" w:hAnsi="Calibri"/>
            <w:color w:val="315B75"/>
            <w:sz w:val="17"/>
            <w:szCs w:val="17"/>
            <w:u w:val="single"/>
          </w:rPr>
          <w:t xml:space="preserve">https://sc.judiciary.gov.ph/wp-content/uploads/2022/08/02-08-13-SC-1.pdf</w:t>
        </w:r>
      </w:hyperlink>
    </w:p>
    <w:p>
      <w:pPr>
        <w:keepNext/>
        <w:spacing w:after="60" w:before="100"/>
      </w:pPr>
      <w:r>
        <w:rPr>
          <w:rFonts w:ascii="Calibri" w:cs="Calibri" w:eastAsia="Calibri" w:hAnsi="Calibri"/>
          <w:b/>
          <w:bCs/>
          <w:sz w:val="18"/>
          <w:szCs w:val="18"/>
        </w:rPr>
        <w:t xml:space="preserve">Rules on Electronic Notarization (A.M. No. 24-10-14-SC) - Electronic notarization through SC-commissioned ENPs and accredited facilities; the SC announced on 25 September 2026 that electronic notarization officially launches on 19 October 2026 (checked 2026-10-01)</w:t>
      </w:r>
    </w:p>
    <w:p>
      <w:pPr>
        <w:spacing w:after="120"/>
      </w:pPr>
      <w:hyperlink w:history="1" r:id="rId5els1vu0nxogvpcgaha6y">
        <w:r>
          <w:rPr>
            <w:rFonts w:ascii="Calibri" w:cs="Calibri" w:eastAsia="Calibri" w:hAnsi="Calibri"/>
            <w:color w:val="315B75"/>
            <w:sz w:val="17"/>
            <w:szCs w:val="17"/>
            <w:u w:val="single"/>
          </w:rPr>
          <w:t xml:space="preserve">https://sc.judiciary.gov.ph/24-10-14-sc-rules-on-electronic-notarization/</w:t>
        </w:r>
      </w:hyperlink>
    </w:p>
    <w:p>
      <w:pPr>
        <w:keepNext/>
        <w:spacing w:after="60" w:before="100"/>
      </w:pPr>
      <w:r>
        <w:rPr>
          <w:rFonts w:ascii="Calibri" w:cs="Calibri" w:eastAsia="Calibri" w:hAnsi="Calibri"/>
          <w:b/>
          <w:bCs/>
          <w:sz w:val="18"/>
          <w:szCs w:val="18"/>
        </w:rPr>
        <w:t xml:space="preserve">Republic Act No. 8792 — Electronic Commerce Act - Electronic documents, signatures, attribution, integrity, retention, recognition, and admissibility (checked 2026-08-30)</w:t>
      </w:r>
    </w:p>
    <w:p>
      <w:pPr>
        <w:spacing w:after="120"/>
      </w:pPr>
      <w:hyperlink w:history="1" r:id="rIdcc_j8krrrpilrufub_zq9">
        <w:r>
          <w:rPr>
            <w:rFonts w:ascii="Calibri" w:cs="Calibri" w:eastAsia="Calibri" w:hAnsi="Calibri"/>
            <w:color w:val="315B75"/>
            <w:sz w:val="17"/>
            <w:szCs w:val="17"/>
            <w:u w:val="single"/>
          </w:rPr>
          <w:t xml:space="preserve">https://lawphil.net/statutes/repacts/ra2000/ra_8792_2000.html</w:t>
        </w:r>
      </w:hyperlink>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87783"/>
        <w:sz w:val="16"/>
        <w:szCs w:val="16"/>
      </w:rPr>
      <w:t xml:space="preserve">LAW.PH · Template v0.2.0 · REVIEW PENDING · Page </w:t>
    </w:r>
    <w:r>
      <w:rPr>
        <w:color w:val="687783"/>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line="264"/>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jc w:val="center"/>
    </w:pPr>
    <w:rPr>
      <w:rFonts w:ascii="Calibri" w:cs="Calibri" w:eastAsia="Calibri" w:hAnsi="Calibri"/>
      <w:b/>
      <w:bCs/>
      <w:color w:val="102B3F"/>
      <w:sz w:val="30"/>
      <w:szCs w:val="3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b5u90-uaky8goluis4b0" Type="http://schemas.openxmlformats.org/officeDocument/2006/relationships/hyperlink" Target="https://lawphil.net/statutes/repacts/ra2019/ra_11232_2019.html" TargetMode="External"/><Relationship Id="rIdufywfotz7bfenpwxgk5ov" Type="http://schemas.openxmlformats.org/officeDocument/2006/relationships/hyperlink" Target="https://www.officialgazette.gov.ph/downloads/2019/02feb/20190220-RA-11232-RRD.pdf" TargetMode="External"/><Relationship Id="rIdebtj9vxl-_saq8racgsle" Type="http://schemas.openxmlformats.org/officeDocument/2006/relationships/hyperlink" Target="https://www.sec.gov.ph/wp-content/uploads/2020/03/2020MCNo06.pdf" TargetMode="External"/><Relationship Id="rIddcrdliwsnq5pfge_2s5nz" Type="http://schemas.openxmlformats.org/officeDocument/2006/relationships/hyperlink" Target="https://efast.sec.gov.ph/faqs" TargetMode="External"/><Relationship Id="rIdobmv10e1kw2prp5m1jnkp" Type="http://schemas.openxmlformats.org/officeDocument/2006/relationships/hyperlink" Target="https://sc.judiciary.gov.ph/wp-content/uploads/2022/08/02-08-13-SC-1.pdf" TargetMode="External"/><Relationship Id="rId5els1vu0nxogvpcgaha6y" Type="http://schemas.openxmlformats.org/officeDocument/2006/relationships/hyperlink" Target="https://sc.judiciary.gov.ph/24-10-14-sc-rules-on-electronic-notarization/" TargetMode="External"/><Relationship Id="rIdcc_j8krrrpilrufub_zq9" Type="http://schemas.openxmlformats.org/officeDocument/2006/relationships/hyperlink" Target="https://lawphil.net/statutes/repacts/ra2000/ra_8792_2000.html" TargetMode="External"/><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Secretary's Certificate</dc:title>
  <dc:creator>LAW.PH</dc:creator>
  <dc:description>Free sample of the Board Resolution and Secretary's Certificate from LAW.PH, with fictional details</dc:description>
  <cp:lastModifiedBy>Un-named</cp:lastModifiedBy>
  <cp:revision>1</cp:revision>
  <dcterms:created xsi:type="dcterms:W3CDTF">2026-10-02T05:29:58.647Z</dcterms:created>
  <dcterms:modified xsi:type="dcterms:W3CDTF">2026-10-02T05:29:58.647Z</dcterms:modified>
</cp:coreProperties>
</file>

<file path=docProps/custom.xml><?xml version="1.0" encoding="utf-8"?>
<Properties xmlns="http://schemas.openxmlformats.org/officeDocument/2006/custom-properties" xmlns:vt="http://schemas.openxmlformats.org/officeDocument/2006/docPropsVTypes"/>
</file>