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DATA PROCESSING AGREEMENT</w:t>
      </w:r>
    </w:p>
    <w:p>
      <w:pPr>
        <w:spacing w:after="160"/>
        <w:jc w:val="center"/>
      </w:pPr>
      <w:r>
        <w:rPr>
          <w:rFonts w:ascii="Calibri" w:cs="Calibri" w:eastAsia="Calibri" w:hAnsi="Calibri"/>
          <w:color w:val="566674"/>
          <w:sz w:val="18"/>
          <w:szCs w:val="18"/>
        </w:rPr>
        <w:t xml:space="preserve">Bayanihan Retail Corporation → Ligtas Cloud Services, Inc. · Heightened, sensitive-data, or cross-border route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independent Philippine privacy-lawyer and security review pending</w:t>
      </w:r>
    </w:p>
    <w:p>
      <w:pPr>
        <w:pStyle w:val="Heading2"/>
        <w:keepNext/>
        <w:spacing w:after="120" w:before="240"/>
      </w:pPr>
      <w:r>
        <w:rPr>
          <w:rFonts w:ascii="Calibri" w:cs="Calibri" w:eastAsia="Calibri" w:hAnsi="Calibri"/>
          <w:b/>
          <w:bCs/>
          <w:color w:val="102B3F"/>
          <w:sz w:val="26"/>
          <w:szCs w:val="26"/>
        </w:rPr>
        <w:t xml:space="preserve">1. PARTIES, PURPOSE, AND STATUS</w:t>
      </w:r>
    </w:p>
    <w:p>
      <w:pPr>
        <w:keepLines/>
        <w:spacing w:after="120" w:line="264"/>
        <w:jc w:val="both"/>
      </w:pPr>
      <w:r>
        <w:rPr>
          <w:rFonts w:ascii="Calibri" w:cs="Calibri" w:eastAsia="Calibri" w:hAnsi="Calibri"/>
          <w:sz w:val="22"/>
          <w:szCs w:val="22"/>
        </w:rPr>
        <w:t xml:space="preserve">This Data Processing Agreement (“DPA”) is made on August 30, 2026 between Bayanihan Retail Corporation, a corporation with address at 12 Mabini Avenue, Makati City 1226 (the “Controller” or “PIC”), and Ligtas Cloud Services, Inc., a corporation with address at 88 Pioneer Street, Mandaluyong City 1550 (the “Processor” or “PIP”).</w:t>
      </w:r>
    </w:p>
    <w:p>
      <w:pPr>
        <w:keepLines/>
        <w:spacing w:after="120" w:line="264"/>
        <w:jc w:val="both"/>
      </w:pPr>
      <w:r>
        <w:rPr>
          <w:rFonts w:ascii="Calibri" w:cs="Calibri" w:eastAsia="Calibri" w:hAnsi="Calibri"/>
          <w:sz w:val="22"/>
          <w:szCs w:val="22"/>
        </w:rPr>
        <w:t xml:space="preserve">It supplements Master Cloud Services Agreement dated 30 August 2026, Order Form BR-2026-09, version 1.0. Service: Cloud customer-support ticketing, secure document exchange, and service analytics performed for the controller's Philippine customers and authorized support users. It takes effect on September 15, 2026 and applies: From the effective date through the services term and thereafter only for verified return, deletion, legal retention, incident, audit, and dispute obligations that expressly survive.</w:t>
      </w:r>
    </w:p>
    <w:p>
      <w:pPr>
        <w:keepLines/>
        <w:spacing w:after="120" w:line="264"/>
        <w:jc w:val="both"/>
      </w:pPr>
      <w:r>
        <w:rPr>
          <w:rFonts w:ascii="Calibri" w:cs="Calibri" w:eastAsia="Calibri" w:hAnsi="Calibri"/>
          <w:sz w:val="22"/>
          <w:szCs w:val="22"/>
        </w:rPr>
        <w:t xml:space="preserve">Current route: Heightened, sensitive-data, or cross-border route. Actual relationship selected: personal information controller to personal information processor. Controller decisions: The controller selects the support purposes, required fields, data subjects, retention periods, authorized recipients, ticket workflows, and permitted reporting outputs. Processor instructions: The processor hosts, organizes, retrieves, transmits, backs up, secures, and deletes support records only through the controller's documented configuration and authorized support instructions.</w:t>
      </w:r>
    </w:p>
    <w:p>
      <w:pPr>
        <w:keepLines/>
        <w:spacing w:after="120" w:line="264"/>
        <w:jc w:val="both"/>
      </w:pPr>
      <w:r>
        <w:rPr>
          <w:rFonts w:ascii="Calibri" w:cs="Calibri" w:eastAsia="Calibri" w:hAnsi="Calibri"/>
          <w:sz w:val="22"/>
          <w:szCs w:val="22"/>
        </w:rPr>
        <w:t xml:space="preserve">Precedence: This DPA controls for personal-data protection conflicts; the main services agreement otherwise controls the commercial service. This DPA does not itself create consent or another lawful basis, change the parties' actual roles, register a DPO or system, satisfy a PIA, notify a data subject or regulator, or prove operational compliance.</w:t>
      </w:r>
    </w:p>
    <w:p>
      <w:pPr>
        <w:pStyle w:val="Heading2"/>
        <w:keepNext/>
        <w:spacing w:after="120" w:before="240"/>
      </w:pPr>
      <w:r>
        <w:rPr>
          <w:rFonts w:ascii="Calibri" w:cs="Calibri" w:eastAsia="Calibri" w:hAnsi="Calibri"/>
          <w:b/>
          <w:bCs/>
          <w:color w:val="102B3F"/>
          <w:sz w:val="26"/>
          <w:szCs w:val="26"/>
        </w:rPr>
        <w:t xml:space="preserve">2. PROCESSING SCHEDULE</w:t>
      </w:r>
    </w:p>
    <w:p>
      <w:pPr>
        <w:keepLines/>
        <w:spacing w:after="120" w:line="264"/>
        <w:jc w:val="both"/>
      </w:pPr>
      <w:r>
        <w:rPr>
          <w:rFonts w:ascii="Calibri" w:cs="Calibri" w:eastAsia="Calibri" w:hAnsi="Calibri"/>
          <w:sz w:val="22"/>
          <w:szCs w:val="22"/>
        </w:rPr>
        <w:t xml:space="preserve">Subject matter: Hosting and operating the controller-configured customer-support environment and securely processing tickets, attachments, service communications, and authorized analytics. Nature and operations: Receive encrypted API and user submissions; validate, organize, store, index, retrieve, display, transmit, back up, monitor, troubleshoot, export, restrict, correct, return, and securely delete records under documented instructions. Purpose: Provide customer support case management, authorized communication, service-quality reporting, fraud and security monitoring, system continuity, and controller-requested export or deletion. Frequency: Continuous hosting with user-initiated ticket activity, daily backups, real-time security monitoring, and monthly controller reports.</w:t>
      </w:r>
    </w:p>
    <w:p>
      <w:pPr>
        <w:keepLines/>
        <w:spacing w:after="120" w:line="264"/>
        <w:jc w:val="both"/>
      </w:pPr>
      <w:r>
        <w:rPr>
          <w:rFonts w:ascii="Calibri" w:cs="Calibri" w:eastAsia="Calibri" w:hAnsi="Calibri"/>
          <w:sz w:val="22"/>
          <w:szCs w:val="22"/>
        </w:rPr>
        <w:t xml:space="preserve">Systems and repositories: Tenant-isolated Philippine application cluster, encrypted relational database, encrypted object storage for attachments, access and audit log service, backup vault, support console, ticket email gateway, and controller API. Geographic locations: Primary hosting and support in Metro Manila, Philippines; encrypted disaster-recovery backup in Singapore; tightly controlled remote support from the Philippines and Singapore.</w:t>
      </w:r>
    </w:p>
    <w:p>
      <w:pPr>
        <w:keepLines/>
        <w:spacing w:after="120" w:line="264"/>
        <w:jc w:val="both"/>
      </w:pPr>
      <w:r>
        <w:rPr>
          <w:rFonts w:ascii="Calibri" w:cs="Calibri" w:eastAsia="Calibri" w:hAnsi="Calibri"/>
          <w:sz w:val="22"/>
          <w:szCs w:val="22"/>
        </w:rPr>
        <w:t xml:space="preserve">Data subjects: Controller customers, prospective customers who submit inquiries, authorized customer representatives, controller support employees, and individuals mentioned in a support ticket. Personal-data categories: Names, business contact details, customer and ticket identifiers, account relationship, communications, attachment contents, service history, IP address, device/browser metadata, timestamps, audit events, and support preferences. Approximate scale: 18,000 data subjects. Sources: Direct submissions by data subjects and controller users, controller CRM/API transfers, authorized email intake, service-generated security and access logs, and approved correction instructions.</w:t>
      </w:r>
    </w:p>
    <w:p>
      <w:pPr>
        <w:keepLines/>
        <w:spacing w:after="120" w:line="264"/>
        <w:jc w:val="both"/>
      </w:pPr>
      <w:r>
        <w:rPr>
          <w:rFonts w:ascii="Calibri" w:cs="Calibri" w:eastAsia="Calibri" w:hAnsi="Calibri"/>
          <w:sz w:val="22"/>
          <w:szCs w:val="22"/>
        </w:rPr>
        <w:t xml:space="preserve">Sensitive or identity-fraud-enabling categories: Government-issued identification copies or health/payment-related details may appear incidentally in attachments; the controller instructs minimization, warning, restriction, and prompt removal when unnecessary.</w:t>
      </w:r>
    </w:p>
    <w:p>
      <w:pPr>
        <w:keepLines/>
        <w:spacing w:after="120" w:line="264"/>
        <w:jc w:val="both"/>
      </w:pPr>
      <w:r>
        <w:rPr>
          <w:rFonts w:ascii="Calibri" w:cs="Calibri" w:eastAsia="Calibri" w:hAnsi="Calibri"/>
          <w:sz w:val="22"/>
          <w:szCs w:val="22"/>
        </w:rPr>
        <w:t xml:space="preserve">No privileged-information category is stated.</w:t>
      </w:r>
    </w:p>
    <w:p>
      <w:pPr>
        <w:keepLines/>
        <w:spacing w:after="120" w:line="264"/>
        <w:jc w:val="both"/>
      </w:pPr>
      <w:r>
        <w:rPr>
          <w:rFonts w:ascii="Calibri" w:cs="Calibri" w:eastAsia="Calibri" w:hAnsi="Calibri"/>
          <w:sz w:val="22"/>
          <w:szCs w:val="22"/>
        </w:rPr>
        <w:t xml:space="preserve">Outputs and recipients: Authorized controller support and privacy teams, authenticated requesting data subjects through the controller, approved processor support personnel, listed infrastructure subprocessors, and lawful authorities only through the compelled-disclosure process. Automated processing: none.</w:t>
      </w:r>
    </w:p>
    <w:p>
      <w:pPr>
        <w:pStyle w:val="Heading2"/>
        <w:keepNext/>
        <w:spacing w:after="120" w:before="240"/>
      </w:pPr>
      <w:r>
        <w:rPr>
          <w:rFonts w:ascii="Calibri" w:cs="Calibri" w:eastAsia="Calibri" w:hAnsi="Calibri"/>
          <w:b/>
          <w:bCs/>
          <w:color w:val="102B3F"/>
          <w:sz w:val="26"/>
          <w:szCs w:val="26"/>
        </w:rPr>
        <w:t xml:space="preserve">3. CONTROLLER OBLIGATIONS AND DOCUMENTED INSTRUCTIONS</w:t>
      </w:r>
    </w:p>
    <w:p>
      <w:pPr>
        <w:keepLines/>
        <w:spacing w:after="120" w:line="264"/>
        <w:jc w:val="both"/>
      </w:pPr>
      <w:r>
        <w:rPr>
          <w:rFonts w:ascii="Calibri" w:cs="Calibri" w:eastAsia="Calibri" w:hAnsi="Calibri"/>
          <w:sz w:val="22"/>
          <w:szCs w:val="22"/>
        </w:rPr>
        <w:t xml:space="preserve">The Controller determines and documents lawful purposes, essential means, lawful criteria, transparency, proportionality, retention, data-subject communications, and instruction authority. Lawful basis: The controller documents the applicable contract, legal obligation, legitimate interest, and consent routes per purpose and data category; sensitive information is processed only under a verified Section 13 criterion. Transparency: The controller's layered privacy notice identifies ticket processing, fields, purposes, lawful bases, processor categories, Singapore backup, retention, rights, DPO contact, and complaint route before or at collection.</w:t>
      </w:r>
    </w:p>
    <w:p>
      <w:pPr>
        <w:keepLines/>
        <w:spacing w:after="120" w:line="264"/>
        <w:jc w:val="both"/>
      </w:pPr>
      <w:r>
        <w:rPr>
          <w:rFonts w:ascii="Calibri" w:cs="Calibri" w:eastAsia="Calibri" w:hAnsi="Calibri"/>
          <w:sz w:val="22"/>
          <w:szCs w:val="22"/>
        </w:rPr>
        <w:t xml:space="preserve">Documented instructions are issued and retained through: Only named controller administrators may issue signed order forms, approved configuration changes, or authenticated support instructions through the contract portal; processor records issuer, time, scope, approval, and implementation evidence. Changes follow: Each change records purpose, data, systems, recipients, countries, retention, security and PIA effects, test evidence, DPO review, authorized approval, deployment, rollback, notice, and schedule update before production use.</w:t>
      </w:r>
    </w:p>
    <w:p>
      <w:pPr>
        <w:keepLines/>
        <w:spacing w:after="120" w:line="264"/>
        <w:jc w:val="both"/>
      </w:pPr>
      <w:r>
        <w:rPr>
          <w:rFonts w:ascii="Calibri" w:cs="Calibri" w:eastAsia="Calibri" w:hAnsi="Calibri"/>
          <w:sz w:val="22"/>
          <w:szCs w:val="22"/>
        </w:rPr>
        <w:t xml:space="preserve">Minimization, accuracy, and quality: Reject unnecessary configured fields where practicable, warn users against uploading unrelated sensitive records, preserve source and correction history, propagate authenticated corrections, and quarantine duplicate or inaccurate data pending controller instruction. The Controller will not instruct processing beyond the disclosed schedule without a lawful, documented change and required notices, assessments, and approvals.</w:t>
      </w:r>
    </w:p>
    <w:p>
      <w:pPr>
        <w:pStyle w:val="Heading2"/>
        <w:keepNext/>
        <w:spacing w:after="120" w:before="240"/>
      </w:pPr>
      <w:r>
        <w:rPr>
          <w:rFonts w:ascii="Calibri" w:cs="Calibri" w:eastAsia="Calibri" w:hAnsi="Calibri"/>
          <w:b/>
          <w:bCs/>
          <w:color w:val="102B3F"/>
          <w:sz w:val="26"/>
          <w:szCs w:val="26"/>
        </w:rPr>
        <w:t xml:space="preserve">4. PROCESSOR DUTIES AND USE LIMITS</w:t>
      </w:r>
    </w:p>
    <w:p>
      <w:pPr>
        <w:keepLines/>
        <w:spacing w:after="120" w:line="264"/>
        <w:jc w:val="both"/>
      </w:pPr>
      <w:r>
        <w:rPr>
          <w:rFonts w:ascii="Calibri" w:cs="Calibri" w:eastAsia="Calibri" w:hAnsi="Calibri"/>
          <w:sz w:val="22"/>
          <w:szCs w:val="22"/>
        </w:rPr>
        <w:t xml:space="preserve">The Processor shall process personal data only on documented Controller instructions, including any transfer, unless Philippine law validly requires otherwise. It shall not sell, advertise with, profile, combine, monetize, disclose, train a general model with, or use Controller data for its own or another party's purpose, and shall not claim ownership over personal data.</w:t>
      </w:r>
    </w:p>
    <w:p>
      <w:pPr>
        <w:keepLines/>
        <w:spacing w:after="120" w:line="264"/>
        <w:jc w:val="both"/>
      </w:pPr>
      <w:r>
        <w:rPr>
          <w:rFonts w:ascii="Calibri" w:cs="Calibri" w:eastAsia="Calibri" w:hAnsi="Calibri"/>
          <w:sz w:val="22"/>
          <w:szCs w:val="22"/>
        </w:rPr>
        <w:t xml:space="preserve">The Processor shall immediately inform the Controller if, in its opinion, an instruction infringes the Data Privacy Act of 2012, its Implementing Rules and Regulations, or any issuance of the National Privacy Commission, and may suspend the affected processing pending resolution (IRR, Section 44(b)(9)). The parties then follow this procedure: The processor promptly flags the legal or NPC concern to both DPOs, pauses only the affected operation where safe, preserves evidence, proposes a compliant alternative, and resumes only after a documented lawful resolution. Silence does not convert an unlawful instruction into a lawful one.</w:t>
      </w:r>
    </w:p>
    <w:p>
      <w:pPr>
        <w:keepLines/>
        <w:spacing w:after="120" w:line="264"/>
        <w:jc w:val="both"/>
      </w:pPr>
      <w:r>
        <w:rPr>
          <w:rFonts w:ascii="Calibri" w:cs="Calibri" w:eastAsia="Calibri" w:hAnsi="Calibri"/>
          <w:sz w:val="22"/>
          <w:szCs w:val="22"/>
        </w:rPr>
        <w:t xml:space="preserve">The Processor shall assist the Controller in ensuring compliance with the Data Privacy Act, its Implementing Rules and Regulations, other relevant laws, and issuances of the National Privacy Commission, taking into account the nature of the processing and the information available to the Processor, including for privacy impact assessments, security, breach notification, and registration (IRR, Section 44(b)(6)).</w:t>
      </w:r>
    </w:p>
    <w:p>
      <w:pPr>
        <w:keepLines/>
        <w:spacing w:after="120" w:line="264"/>
        <w:jc w:val="both"/>
      </w:pPr>
      <w:r>
        <w:rPr>
          <w:rFonts w:ascii="Calibri" w:cs="Calibri" w:eastAsia="Calibri" w:hAnsi="Calibri"/>
          <w:sz w:val="22"/>
          <w:szCs w:val="22"/>
        </w:rPr>
        <w:t xml:space="preserve">Court, law-enforcement, regulator, or other compelled disclosure: The processor authenticates authority and scope, immediately notifies the controller unless legally prohibited, seeks narrowing or challenge where reasonable, discloses the minimum through a secure channel, and preserves the request, decision, and transmission record. Disclosures are authenticated, minimized, secured, recorded, and notified to the Controller unless valid law prohibits notice.</w:t>
      </w:r>
    </w:p>
    <w:p>
      <w:pPr>
        <w:keepLines/>
        <w:spacing w:after="120" w:line="264"/>
        <w:jc w:val="both"/>
      </w:pPr>
      <w:r>
        <w:rPr>
          <w:rFonts w:ascii="Calibri" w:cs="Calibri" w:eastAsia="Calibri" w:hAnsi="Calibri"/>
          <w:sz w:val="22"/>
          <w:szCs w:val="22"/>
        </w:rPr>
        <w:t xml:space="preserve">Authorized personnel are bound by enforceable confidentiality, receive only necessary access, follow instructions and policy, and remain subject to controls after role change or separation. The Processor remains independently responsible for duties imposed directly on a PIP by law.</w:t>
      </w:r>
    </w:p>
    <w:p>
      <w:pPr>
        <w:pStyle w:val="Heading2"/>
        <w:keepNext/>
        <w:spacing w:after="120" w:before="240"/>
      </w:pPr>
      <w:r>
        <w:rPr>
          <w:rFonts w:ascii="Calibri" w:cs="Calibri" w:eastAsia="Calibri" w:hAnsi="Calibri"/>
          <w:b/>
          <w:bCs/>
          <w:color w:val="102B3F"/>
          <w:sz w:val="26"/>
          <w:szCs w:val="26"/>
        </w:rPr>
        <w:t xml:space="preserve">5. SECURITY AND RESILIENCE</w:t>
      </w:r>
    </w:p>
    <w:p>
      <w:pPr>
        <w:keepLines/>
        <w:spacing w:after="120" w:line="264"/>
        <w:jc w:val="both"/>
      </w:pPr>
      <w:r>
        <w:rPr>
          <w:rFonts w:ascii="Calibri" w:cs="Calibri" w:eastAsia="Calibri" w:hAnsi="Calibri"/>
          <w:sz w:val="22"/>
          <w:szCs w:val="22"/>
        </w:rPr>
        <w:t xml:space="preserve">Risk level: heightened. Privacy impact assessment: completed and current. Privacy management: Named DPOs, quarterly risk and processing-record review, policy ownership, annual control assessment, supplier governance, rights and incident metrics, executive escalation, and tracked remediation under the approved privacy management program. Personnel: Role screening, signed confidentiality, privacy/security training before access and annually, ticket-specific need-to-know, prohibited local copies, monitored privileged support, sanctions, same-day access revocation, and exit certification.</w:t>
      </w:r>
    </w:p>
    <w:p>
      <w:pPr>
        <w:keepLines/>
        <w:spacing w:after="120" w:line="264"/>
        <w:jc w:val="both"/>
      </w:pPr>
      <w:r>
        <w:rPr>
          <w:rFonts w:ascii="Calibri" w:cs="Calibri" w:eastAsia="Calibri" w:hAnsi="Calibri"/>
          <w:sz w:val="22"/>
          <w:szCs w:val="22"/>
        </w:rPr>
        <w:t xml:space="preserve">Access and authentication: Tenant and role-based access, least privilege, SSO and phishing-resistant MFA for administrators, separate privileged accounts, quarterly access recertification, break-glass approval and logging, session controls, failed-login alerts, and immediate revocation. Encryption and keys: TLS 1.2 or higher in transit, strong industry-standard encryption at rest and in backups, keys separated from data in managed HSM-backed storage, restricted custodians, rotation, revocation, backup, secrets scanning, and logged key operations.</w:t>
      </w:r>
    </w:p>
    <w:p>
      <w:pPr>
        <w:keepLines/>
        <w:spacing w:after="120" w:line="264"/>
        <w:jc w:val="both"/>
      </w:pPr>
      <w:r>
        <w:rPr>
          <w:rFonts w:ascii="Calibri" w:cs="Calibri" w:eastAsia="Calibri" w:hAnsi="Calibri"/>
          <w:sz w:val="22"/>
          <w:szCs w:val="22"/>
        </w:rPr>
        <w:t xml:space="preserve">Logging and monitoring: Tamper-resistant tenant, administrative, authentication, export, configuration, deletion, and security logs synchronized to trusted time, centrally monitored 24/7, alerted on suspicious activity, access-restricted, and retained under the schedule. Vulnerability, patch, and testing: Maintained asset and dependency inventory, hardened baselines, continuous dependency and vulnerability scanning, critical patch target of 72 hours based on risk, annual independent penetration test, tracked findings, retest, and emergency mitigation.</w:t>
      </w:r>
    </w:p>
    <w:p>
      <w:pPr>
        <w:keepLines/>
        <w:spacing w:after="120" w:line="264"/>
        <w:jc w:val="both"/>
      </w:pPr>
      <w:r>
        <w:rPr>
          <w:rFonts w:ascii="Calibri" w:cs="Calibri" w:eastAsia="Calibri" w:hAnsi="Calibri"/>
          <w:sz w:val="22"/>
          <w:szCs w:val="22"/>
        </w:rPr>
        <w:t xml:space="preserve">Physical and media security: Access-controlled facilities and visitor logs, encrypted managed devices, disabled unapproved removable media, secure courier and chain of custody where needed, clean-desk controls, locked paper storage, certified device wiping, and witnessed destruction. Segregation: Tenant identifiers and authorization enforced at application and database layers, separate production and test accounts, no production data in development absent approved masking, segmented networks, dedicated secrets, and tested tenant-isolation controls.</w:t>
      </w:r>
    </w:p>
    <w:p>
      <w:pPr>
        <w:keepLines/>
        <w:spacing w:after="120" w:line="264"/>
        <w:jc w:val="both"/>
      </w:pPr>
      <w:r>
        <w:rPr>
          <w:rFonts w:ascii="Calibri" w:cs="Calibri" w:eastAsia="Calibri" w:hAnsi="Calibri"/>
          <w:sz w:val="22"/>
          <w:szCs w:val="22"/>
        </w:rPr>
        <w:t xml:space="preserve">Backup, continuity, and recovery: Encrypted daily backups with isolated copies, quarterly restore tests, documented business continuity and disaster recovery, annual exercise, recovery time objective of eight hours, recovery point objective of twenty-four hours, crisis communications, and corrective actions. Secure development and change: Threat modeling and privacy review for material features, reviewed code, static/dynamic/dependency testing, protected branches, signed builds, segregated deployment approval, tested rollback, change records, production monitoring, and emergency-change review.</w:t>
      </w:r>
    </w:p>
    <w:p>
      <w:pPr>
        <w:keepLines/>
        <w:spacing w:after="120" w:line="264"/>
        <w:jc w:val="both"/>
      </w:pPr>
      <w:r>
        <w:rPr>
          <w:rFonts w:ascii="Calibri" w:cs="Calibri" w:eastAsia="Calibri" w:hAnsi="Calibri"/>
          <w:sz w:val="22"/>
          <w:szCs w:val="22"/>
        </w:rPr>
        <w:t xml:space="preserve">Retention: Active tickets remain for twenty-four months after closure unless the controller configures a shorter period; access/security logs remain twelve months; exports expire in seven days; backups age out within ninety days; verified legal holds are isolated and reviewed quarterly. Certification claims: No certification is claimed unless a current certificate and exact scope are attached and independently verified. A certificate does not replace verification of the exact system, scope, dates, exceptions, and controls used for this processing.</w:t>
      </w:r>
    </w:p>
    <w:p>
      <w:pPr>
        <w:pStyle w:val="Heading2"/>
        <w:keepNext/>
        <w:spacing w:after="120" w:before="240"/>
      </w:pPr>
      <w:r>
        <w:rPr>
          <w:rFonts w:ascii="Calibri" w:cs="Calibri" w:eastAsia="Calibri" w:hAnsi="Calibri"/>
          <w:b/>
          <w:bCs/>
          <w:color w:val="102B3F"/>
          <w:sz w:val="26"/>
          <w:szCs w:val="26"/>
        </w:rPr>
        <w:t xml:space="preserve">6. SUBPROCESSORS</w:t>
      </w:r>
    </w:p>
    <w:p>
      <w:pPr>
        <w:keepLines/>
        <w:spacing w:after="120" w:line="264"/>
        <w:jc w:val="both"/>
      </w:pPr>
      <w:r>
        <w:rPr>
          <w:rFonts w:ascii="Calibri" w:cs="Calibri" w:eastAsia="Calibri" w:hAnsi="Calibri"/>
          <w:sz w:val="22"/>
          <w:szCs w:val="22"/>
        </w:rPr>
        <w:t xml:space="preserve">Authorization model: general authorization for the approved list, with advance notice of changes and a right to object. Current approved subprocessors: SafeHarbor SG Pte. Ltd.—encrypted disaster-recovery object storage in Singapore for ticket records and backups, contract executed; MensaMail PH Inc.—Philippine transactional ticket email relay for contact and message metadata, contract executed. Advance notice: 15 days. Objection process: Controller may object on documented privacy or security grounds during the notice period; parties review evidence and mitigation, and processor offers a reasonable alternative, disables the affected feature, or permits termination and verified migration if unresolved.</w:t>
      </w:r>
    </w:p>
    <w:p>
      <w:pPr>
        <w:keepLines/>
        <w:spacing w:after="120" w:line="264"/>
        <w:jc w:val="both"/>
      </w:pPr>
      <w:r>
        <w:rPr>
          <w:rFonts w:ascii="Calibri" w:cs="Calibri" w:eastAsia="Calibri" w:hAnsi="Calibri"/>
          <w:sz w:val="22"/>
          <w:szCs w:val="22"/>
        </w:rPr>
        <w:t xml:space="preserve">Flow-down obligations: Before access, impose documented instructions, confidentiality, equivalent risk-based security, incident reporting within six hours, rights assistance, audit evidence, return/deletion, country limits, onward-transfer controls, and prompt unlawful-instruction notice. The Processor must contract before access, conduct proportionate diligence, keep evidence, monitor performance, and prevent onward processing outside the approval.</w:t>
      </w:r>
    </w:p>
    <w:p>
      <w:pPr>
        <w:keepLines/>
        <w:spacing w:after="120" w:line="264"/>
        <w:jc w:val="both"/>
      </w:pPr>
      <w:r>
        <w:rPr>
          <w:rFonts w:ascii="Calibri" w:cs="Calibri" w:eastAsia="Calibri" w:hAnsi="Calibri"/>
          <w:sz w:val="22"/>
          <w:szCs w:val="22"/>
        </w:rPr>
        <w:t xml:space="preserve">Processor accountability: The processor performs initial and annual risk review, obtains current control and incident evidence, tracks remediation, maintains the complete schedule, remains responsible for contracted processing, and suspends access for material unremediated failure. Approval does not relieve the Processor of its duties or make the Controller silently accept undisclosed locations, purposes, or weaker terms.</w:t>
      </w:r>
    </w:p>
    <w:p>
      <w:pPr>
        <w:pStyle w:val="Heading2"/>
        <w:keepNext/>
        <w:spacing w:after="120" w:before="240"/>
      </w:pPr>
      <w:r>
        <w:rPr>
          <w:rFonts w:ascii="Calibri" w:cs="Calibri" w:eastAsia="Calibri" w:hAnsi="Calibri"/>
          <w:b/>
          <w:bCs/>
          <w:color w:val="102B3F"/>
          <w:sz w:val="26"/>
          <w:szCs w:val="26"/>
        </w:rPr>
        <w:t xml:space="preserve">7. CROSS-BORDER PROCESSING</w:t>
      </w:r>
    </w:p>
    <w:p>
      <w:pPr>
        <w:keepLines/>
        <w:spacing w:after="120" w:line="264"/>
        <w:jc w:val="both"/>
      </w:pPr>
      <w:r>
        <w:rPr>
          <w:rFonts w:ascii="Calibri" w:cs="Calibri" w:eastAsia="Calibri" w:hAnsi="Calibri"/>
          <w:sz w:val="22"/>
          <w:szCs w:val="22"/>
        </w:rPr>
        <w:t xml:space="preserve">Approved countries and access locations: Philippines—primary hosting and support; Singapore—encrypted disaster-recovery storage and tightly controlled support for recovery testing. Safeguard selected: the ASEAN Model Contractual Clauses. Binding ASEAN Model Contractual Clauses reconciled with this DPA; encryption with controlled keys; least-privilege access; country and subprocessor schedule; onward-transfer prohibition; rights and complaint channels; incident cooperation; audit evidence; deletion; and documented legal/government-access assessment.</w:t>
      </w:r>
    </w:p>
    <w:p>
      <w:pPr>
        <w:keepLines/>
        <w:spacing w:after="120" w:line="264"/>
        <w:jc w:val="both"/>
      </w:pPr>
      <w:r>
        <w:rPr>
          <w:rFonts w:ascii="Calibri" w:cs="Calibri" w:eastAsia="Calibri" w:hAnsi="Calibri"/>
          <w:sz w:val="22"/>
          <w:szCs w:val="22"/>
        </w:rPr>
        <w:t xml:space="preserve">Country change: Give at least thirty days' advance notice of a new country, provider, or material access path with the assessment and controls; controller may object, require mitigation, choose a feasible Philippines-only option, migrate, or terminate before access begins. Model clauses or other contractual tools supplement but do not replace actual security, transparency, lawful processing, onward-transfer control, rights, and accountability.</w:t>
      </w:r>
    </w:p>
    <w:p>
      <w:pPr>
        <w:keepLines/>
        <w:spacing w:after="120" w:line="264"/>
        <w:jc w:val="both"/>
      </w:pPr>
      <w:r>
        <w:rPr>
          <w:rFonts w:ascii="Calibri" w:cs="Calibri" w:eastAsia="Calibri" w:hAnsi="Calibri"/>
          <w:sz w:val="22"/>
          <w:szCs w:val="22"/>
        </w:rPr>
        <w:t xml:space="preserve">Government-access demands: Review jurisdiction, authority, scope, conflicts, proportionality, challenge options, secrecy limits, and transfer safeguards; notify the controller when lawful, minimize and securely transmit, record every step, and publish only lawful aggregate transparency information.</w:t>
      </w:r>
    </w:p>
    <w:p>
      <w:pPr>
        <w:pStyle w:val="Heading2"/>
        <w:keepNext/>
        <w:spacing w:after="120" w:before="240"/>
      </w:pPr>
      <w:r>
        <w:rPr>
          <w:rFonts w:ascii="Calibri" w:cs="Calibri" w:eastAsia="Calibri" w:hAnsi="Calibri"/>
          <w:b/>
          <w:bCs/>
          <w:color w:val="102B3F"/>
          <w:sz w:val="26"/>
          <w:szCs w:val="26"/>
        </w:rPr>
        <w:t xml:space="preserve">8. DATA-SUBJECT RIGHTS, COMPLAINTS, AND REGULATORS</w:t>
      </w:r>
    </w:p>
    <w:p>
      <w:pPr>
        <w:keepLines/>
        <w:spacing w:after="120" w:line="264"/>
        <w:jc w:val="both"/>
      </w:pPr>
      <w:r>
        <w:rPr>
          <w:rFonts w:ascii="Calibri" w:cs="Calibri" w:eastAsia="Calibri" w:hAnsi="Calibri"/>
          <w:sz w:val="22"/>
          <w:szCs w:val="22"/>
        </w:rPr>
        <w:t xml:space="preserve">The Processor routes every apparent data-subject request to the Controller within 24 hours unless law requires a different response and shall not impersonate the Controller. Assistance: Route the request securely, preserve the original, locate all tenant records and recipients, support access/export/correction/objection/erasure/blocking/portability and automated-decision inquiries, verify completion, and avoid responding as controller without instruction.</w:t>
      </w:r>
    </w:p>
    <w:p>
      <w:pPr>
        <w:keepLines/>
        <w:spacing w:after="120" w:line="264"/>
        <w:jc w:val="both"/>
      </w:pPr>
      <w:r>
        <w:rPr>
          <w:rFonts w:ascii="Calibri" w:cs="Calibri" w:eastAsia="Calibri" w:hAnsi="Calibri"/>
          <w:sz w:val="22"/>
          <w:szCs w:val="22"/>
        </w:rPr>
        <w:t xml:space="preserve">Correction, deletion, restriction, and propagation: Authenticate the controller instruction, identify affected live systems, recipients and backups, apply correction or restriction promptly, propagate where required, record lawful exceptions or holds, verify results, and provide completion evidence without exposing another person. The Processor authenticates instructions proportionately, preserves lawful exceptions, and provides completion evidence.</w:t>
      </w:r>
    </w:p>
    <w:p>
      <w:pPr>
        <w:keepLines/>
        <w:spacing w:after="120" w:line="264"/>
        <w:jc w:val="both"/>
      </w:pPr>
      <w:r>
        <w:rPr>
          <w:rFonts w:ascii="Calibri" w:cs="Calibri" w:eastAsia="Calibri" w:hAnsi="Calibri"/>
          <w:sz w:val="22"/>
          <w:szCs w:val="22"/>
        </w:rPr>
        <w:t xml:space="preserve">Complaints, NPC matters, and proceedings: Preserve relevant records, route complaints to both DPOs, provide truthful timely evidence, support NPC inquiries and lawful orders, control privilege and third-party confidentiality, prevent retaliation, and maintain an auditable response timeline. Nothing obstructs a lawful data-subject complaint, NPC authority, protected report, investigation, or remedy.</w:t>
      </w:r>
    </w:p>
    <w:p>
      <w:pPr>
        <w:pStyle w:val="Heading2"/>
        <w:keepNext/>
        <w:spacing w:after="120" w:before="240"/>
      </w:pPr>
      <w:r>
        <w:rPr>
          <w:rFonts w:ascii="Calibri" w:cs="Calibri" w:eastAsia="Calibri" w:hAnsi="Calibri"/>
          <w:b/>
          <w:bCs/>
          <w:color w:val="102B3F"/>
          <w:sz w:val="26"/>
          <w:szCs w:val="26"/>
        </w:rPr>
        <w:t xml:space="preserve">9. SECURITY INCIDENTS AND PERSONAL DATA BREACHES</w:t>
      </w:r>
    </w:p>
    <w:p>
      <w:pPr>
        <w:keepLines/>
        <w:spacing w:after="120" w:line="264"/>
        <w:jc w:val="both"/>
      </w:pPr>
      <w:r>
        <w:rPr>
          <w:rFonts w:ascii="Calibri" w:cs="Calibri" w:eastAsia="Calibri" w:hAnsi="Calibri"/>
          <w:sz w:val="22"/>
          <w:szCs w:val="22"/>
        </w:rPr>
        <w:t xml:space="preserve">The Processor reports any actual or reasonably suspected security incident or personal data breach to the Controller within 12 hours of knowledge or reasonable belief, without waiting for certainty. The report and supplements include: Discovery time and reporter; affected service, tenant, systems, countries, subprocessors, data subjects, records and data categories; chronology, attack or error, vulnerabilities, access and exfiltration evidence; containment, recovery, likely consequences, risk, contacts, missing facts, next update time, and recommended protective action.</w:t>
      </w:r>
    </w:p>
    <w:p>
      <w:pPr>
        <w:keepLines/>
        <w:spacing w:after="120" w:line="264"/>
        <w:jc w:val="both"/>
      </w:pPr>
      <w:r>
        <w:rPr>
          <w:rFonts w:ascii="Calibri" w:cs="Calibri" w:eastAsia="Calibri" w:hAnsi="Calibri"/>
          <w:sz w:val="22"/>
          <w:szCs w:val="22"/>
        </w:rPr>
        <w:t xml:space="preserve">Containment and investigation: Operate 24/7 escalation to the breach team and DPO, isolate compromised access without destroying evidence, protect affected data, preserve service safely, investigate root cause and scope, coordinate forensic support, restore verified integrity, mitigate data-subject harm, and issue scheduled updates. Evidence: Preserve synchronized logs, alerts, system images, configuration, tickets, communications, timeline, decisions, access records, forensic hashes, chain of custody, root cause, remediation, and secure role-limited controller access.</w:t>
      </w:r>
    </w:p>
    <w:p>
      <w:pPr>
        <w:keepLines/>
        <w:spacing w:after="120" w:line="264"/>
        <w:jc w:val="both"/>
      </w:pPr>
      <w:r>
        <w:rPr>
          <w:rFonts w:ascii="Calibri" w:cs="Calibri" w:eastAsia="Calibri" w:hAnsi="Calibri"/>
          <w:sz w:val="22"/>
          <w:szCs w:val="22"/>
        </w:rPr>
        <w:t xml:space="preserve">Notification control: The controller assesses and makes NPC and data-subject notifications using available facts; processor supplies timely drafts and updates but makes no external notification or public statement without controller approval unless law directly compels it, in which case it minimizes and records the action. The Controller retains the statutory notification decision where applicable; the Processor does not delay, conceal, minimize, or make an unauthorized public/data-subject notice, except when directly required by law.</w:t>
      </w:r>
    </w:p>
    <w:p>
      <w:pPr>
        <w:keepLines/>
        <w:spacing w:after="120" w:line="264"/>
        <w:jc w:val="both"/>
      </w:pPr>
      <w:r>
        <w:rPr>
          <w:rFonts w:ascii="Calibri" w:cs="Calibri" w:eastAsia="Calibri" w:hAnsi="Calibri"/>
          <w:sz w:val="22"/>
          <w:szCs w:val="22"/>
        </w:rPr>
        <w:t xml:space="preserve">Post-incident: Deliver root-cause and corrective-action reports, validate containment and remediation independently where proportionate, update risk, PIA, policies, training and tests, track owners and deadlines, and review effectiveness with both DPOs. Annual and internal reporting: Both parties maintain complete incident and breach registers, including nil-reporting evidence where required, assign the DPO or delegate to prepare and verify the current ASIR, submit only through the current NPC channel, and retain confirmation. The parties preserve enough time and facts for the current 72-hour NPC/data-subject notification framework where its legal conditions are met, and for the Controller's full breach report to the NPC, which is due within five days from discovery unless the NPC acts on a request about it (NPC Advisory No. 2026-02).</w:t>
      </w:r>
    </w:p>
    <w:p>
      <w:pPr>
        <w:pStyle w:val="Heading2"/>
        <w:keepNext/>
        <w:spacing w:after="120" w:before="240"/>
      </w:pPr>
      <w:r>
        <w:rPr>
          <w:rFonts w:ascii="Calibri" w:cs="Calibri" w:eastAsia="Calibri" w:hAnsi="Calibri"/>
          <w:b/>
          <w:bCs/>
          <w:color w:val="102B3F"/>
          <w:sz w:val="26"/>
          <w:szCs w:val="26"/>
        </w:rPr>
        <w:t xml:space="preserve">10. ASSURANCE, AUDIT, AND REMEDIATION</w:t>
      </w:r>
    </w:p>
    <w:p>
      <w:pPr>
        <w:keepLines/>
        <w:spacing w:after="120" w:line="264"/>
        <w:jc w:val="both"/>
      </w:pPr>
      <w:r>
        <w:rPr>
          <w:rFonts w:ascii="Calibri" w:cs="Calibri" w:eastAsia="Calibri" w:hAnsi="Calibri"/>
          <w:sz w:val="22"/>
          <w:szCs w:val="22"/>
        </w:rPr>
        <w:t xml:space="preserve">Compliance evidence: Current policies, processing inventory, data flow, PIA, access reviews, training, vulnerability and penetration tests, patch records, logs, backup restore tests, incidents, ASIR, subprocessors, transfer clauses, deletion tests, certifications with scope, and remediation status. Ordinary audit notice: 10 days. Audit conditions and urgent exceptions: Audits are scoped to relevant controls, protect other customers and security secrets, use existing independent evidence first, avoid unreasonable disruption, and allocate ordinary cost to controller; no ordinary notice applies to incidents, NPC orders, material undisclosed changes, or credible critical failures.</w:t>
      </w:r>
    </w:p>
    <w:p>
      <w:pPr>
        <w:keepLines/>
        <w:spacing w:after="120" w:line="264"/>
        <w:jc w:val="both"/>
      </w:pPr>
      <w:r>
        <w:rPr>
          <w:rFonts w:ascii="Calibri" w:cs="Calibri" w:eastAsia="Calibri" w:hAnsi="Calibri"/>
          <w:sz w:val="22"/>
          <w:szCs w:val="22"/>
        </w:rPr>
        <w:t xml:space="preserve">Findings and remediation: Classify findings by risk; contain critical exposure immediately, remediate critical findings within agreed emergency targets and other findings by written dates, provide evidence and retest, escalate overdue or repeat findings, and permit proportionate suspension or termination. The Controller may require reasonable evidence, independent reports, interviews, remote review, or proportionate inspection; urgent incident, regulator, material-change, or credible-control-failure reviews need not wait for the ordinary notice period.</w:t>
      </w:r>
    </w:p>
    <w:p>
      <w:pPr>
        <w:keepLines/>
        <w:spacing w:after="120" w:line="264"/>
        <w:jc w:val="both"/>
      </w:pPr>
      <w:r>
        <w:rPr>
          <w:rFonts w:ascii="Calibri" w:cs="Calibri" w:eastAsia="Calibri" w:hAnsi="Calibri"/>
          <w:sz w:val="22"/>
          <w:szCs w:val="22"/>
        </w:rPr>
        <w:t xml:space="preserve">Registration and records: Each DPO verifies NPC Circular 2022-04 coverage, registers or completes the current exemption route through NPCRS, maintains processing records, registers automated processing where required, updates material changes, renews timely, and retains current ASIR submission confirmation. Each party remains responsible for its own DPO, DPS, automated processing/profiling, records of processing, ASIR, exemption, renewal, and other current NPC obligations.</w:t>
      </w:r>
    </w:p>
    <w:p>
      <w:pPr>
        <w:pStyle w:val="Heading2"/>
        <w:keepNext/>
        <w:spacing w:after="120" w:before="240"/>
      </w:pPr>
      <w:r>
        <w:rPr>
          <w:rFonts w:ascii="Calibri" w:cs="Calibri" w:eastAsia="Calibri" w:hAnsi="Calibri"/>
          <w:b/>
          <w:bCs/>
          <w:color w:val="102B3F"/>
          <w:sz w:val="26"/>
          <w:szCs w:val="26"/>
        </w:rPr>
        <w:t xml:space="preserve">11. RETURN, DELETION, AND TERMINATION</w:t>
      </w:r>
    </w:p>
    <w:p>
      <w:pPr>
        <w:keepLines/>
        <w:spacing w:after="120" w:line="264"/>
        <w:jc w:val="both"/>
      </w:pPr>
      <w:r>
        <w:rPr>
          <w:rFonts w:ascii="Calibri" w:cs="Calibri" w:eastAsia="Calibri" w:hAnsi="Calibri"/>
          <w:sz w:val="22"/>
          <w:szCs w:val="22"/>
        </w:rPr>
        <w:t xml:space="preserve">End-of-service choice: return or deletion, as the Controller chooses at termination. Procedure: Within thirty days of termination, provide the controller a complete, documented, encrypted interoperable export with hashes and field map if requested; after written validation, securely delete tenant data from live systems, replicas, caches, exports, devices and approved subprocessors under verified procedures.</w:t>
      </w:r>
    </w:p>
    <w:p>
      <w:pPr>
        <w:keepLines/>
        <w:spacing w:after="120" w:line="264"/>
        <w:jc w:val="both"/>
      </w:pPr>
      <w:r>
        <w:rPr>
          <w:rFonts w:ascii="Calibri" w:cs="Calibri" w:eastAsia="Calibri" w:hAnsi="Calibri"/>
          <w:sz w:val="22"/>
          <w:szCs w:val="22"/>
        </w:rPr>
        <w:t xml:space="preserve">Backups and legal retention: Backup records remain encrypted, isolated from ordinary use, access-limited, and expire within ninety days through normal rotation; verified legal holds identify authority, scope, custodian and review date, prohibit other use, and trigger secure deletion when released. Retained data is isolated, access-limited, not used for another purpose, and deleted at the documented expiry unless a new lawful hold applies.</w:t>
      </w:r>
    </w:p>
    <w:p>
      <w:pPr>
        <w:keepLines/>
        <w:spacing w:after="120" w:line="264"/>
        <w:jc w:val="both"/>
      </w:pPr>
      <w:r>
        <w:rPr>
          <w:rFonts w:ascii="Calibri" w:cs="Calibri" w:eastAsia="Calibri" w:hAnsi="Calibri"/>
          <w:sz w:val="22"/>
          <w:szCs w:val="22"/>
        </w:rPr>
        <w:t xml:space="preserve">Certification: An authorized security and privacy officer certifies systems and subprocessors covered, completion dates and methods, backup expiry, any exact lawful residual data, access restrictions, deletion trigger, evidence reference, and no known unreported copy. Termination and suspension: Permit immediate suspension of affected processing for unlawful instruction, active security risk, unauthorized subprocessor/country, or compelled necessity; allow termination for uncured material breach, failed critical remediation, repeated incidents, unresolved transfer objection, or lost authority, followed by orderly secure migration and return/deletion. Instruction termination does not erase incident, audit, confidentiality, return/deletion, evidence, regulator, or liability duties that must survive.</w:t>
      </w:r>
    </w:p>
    <w:p>
      <w:pPr>
        <w:pStyle w:val="Heading2"/>
        <w:keepNext/>
        <w:spacing w:after="120" w:before="240"/>
      </w:pPr>
      <w:r>
        <w:rPr>
          <w:rFonts w:ascii="Calibri" w:cs="Calibri" w:eastAsia="Calibri" w:hAnsi="Calibri"/>
          <w:b/>
          <w:bCs/>
          <w:color w:val="102B3F"/>
          <w:sz w:val="26"/>
          <w:szCs w:val="26"/>
        </w:rPr>
        <w:t xml:space="preserve">12. LIABILITY, GENERAL TERMS, AND EXECUTION</w:t>
      </w:r>
    </w:p>
    <w:p>
      <w:pPr>
        <w:keepLines/>
        <w:spacing w:after="120" w:line="264"/>
        <w:jc w:val="both"/>
      </w:pPr>
      <w:r>
        <w:rPr>
          <w:rFonts w:ascii="Calibri" w:cs="Calibri" w:eastAsia="Calibri" w:hAnsi="Calibri"/>
          <w:sz w:val="22"/>
          <w:szCs w:val="22"/>
        </w:rPr>
        <w:t xml:space="preserve">Risk and liability allocation: Each party is responsible for loss caused by its breach, unlawful processing, instruction, security failure, or negligence; third-party claims follow prompt notice, defense cooperation and settlement consent, with negotiated caps and insurance applied only after privacy counsel confirms non-waivable statutory, data-subject, NPC, fraud, willful misconduct, confidentiality, and security obligations. No cap, exclusion, indemnity, or insurance wording waives duties or remedies that cannot lawfully be waived, binds the NPC or data subjects, authorizes concealment, or excuses willful unlawful processing.</w:t>
      </w:r>
    </w:p>
    <w:p>
      <w:pPr>
        <w:keepLines/>
        <w:spacing w:after="120" w:line="264"/>
        <w:jc w:val="both"/>
      </w:pPr>
      <w:r>
        <w:rPr>
          <w:rFonts w:ascii="Calibri" w:cs="Calibri" w:eastAsia="Calibri" w:hAnsi="Calibri"/>
          <w:sz w:val="22"/>
          <w:szCs w:val="22"/>
        </w:rPr>
        <w:t xml:space="preserve">Philippine law governs. Venue: Makati City, Philippines. The parties preserve urgent injunctive, regulator, data-subject, evidence-preservation, incident, and security remedies. Amendments affecting processing require an authorized written change and updated schedules, notices, PIAs, registrations, subprocessor/transfer approvals, and controls where applicable.</w:t>
      </w:r>
    </w:p>
    <w:p>
      <w:pPr>
        <w:keepLines/>
        <w:spacing w:after="120" w:line="264"/>
        <w:jc w:val="both"/>
      </w:pPr>
      <w:r>
        <w:rPr>
          <w:rFonts w:ascii="Calibri" w:cs="Calibri" w:eastAsia="Calibri" w:hAnsi="Calibri"/>
          <w:sz w:val="22"/>
          <w:szCs w:val="22"/>
        </w:rPr>
        <w:t xml:space="preserve">Signature process: electronic signatures with retained attribution and integrity evidence. Electronic signatures are used only with retained attribution, authority, consent, integrity, completeness, delivery, and accessible retention evidence under applicable law and recipient requirements.</w:t>
      </w:r>
    </w:p>
    <w:p>
      <w:pPr>
        <w:keepNext/>
        <w:spacing w:after="260" w:before="360"/>
      </w:pPr>
      <w:r>
        <w:rPr>
          <w:rFonts w:ascii="Calibri" w:cs="Calibri" w:eastAsia="Calibri" w:hAnsi="Calibri"/>
          <w:b/>
          <w:bCs/>
          <w:sz w:val="22"/>
          <w:szCs w:val="22"/>
        </w:rPr>
        <w:t xml:space="preserve">Each party signs through its authorized representative after approving the complete DPA and schedules: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PERSONAL INFORMATION CONTROLLER</w:t>
            </w:r>
          </w:p>
          <w:p>
            <w:pPr>
              <w:spacing w:after="120"/>
            </w:pPr>
            <w:r>
              <w:rPr>
                <w:rFonts w:ascii="Calibri" w:cs="Calibri" w:eastAsia="Calibri" w:hAnsi="Calibri"/>
                <w:sz w:val="22"/>
                <w:szCs w:val="22"/>
              </w:rPr>
              <w:t xml:space="preserve">Bayanihan Retail Corporation</w:t>
            </w:r>
          </w:p>
          <w:p>
            <w:pPr>
              <w:spacing w:after="120"/>
            </w:pPr>
            <w:r>
              <w:rPr>
                <w:rFonts w:ascii="Calibri" w:cs="Calibri" w:eastAsia="Calibri" w:hAnsi="Calibri"/>
                <w:sz w:val="22"/>
                <w:szCs w:val="22"/>
              </w:rPr>
              <w:t xml:space="preserve">By: Laura M. Cruz, Chief Operating Officer · DPO/contact: Data Protection Officer: Ramon D. Lim, privacy@bayanihan.example, +63 2 8555 1000 · Signature and date</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PERSONAL INFORMATION PROCESSOR</w:t>
            </w:r>
          </w:p>
          <w:p>
            <w:pPr>
              <w:spacing w:after="120"/>
            </w:pPr>
            <w:r>
              <w:rPr>
                <w:rFonts w:ascii="Calibri" w:cs="Calibri" w:eastAsia="Calibri" w:hAnsi="Calibri"/>
                <w:sz w:val="22"/>
                <w:szCs w:val="22"/>
              </w:rPr>
              <w:t xml:space="preserve">Ligtas Cloud Services, Inc.</w:t>
            </w:r>
          </w:p>
          <w:p>
            <w:pPr>
              <w:spacing w:after="120"/>
            </w:pPr>
            <w:r>
              <w:rPr>
                <w:rFonts w:ascii="Calibri" w:cs="Calibri" w:eastAsia="Calibri" w:hAnsi="Calibri"/>
                <w:sz w:val="22"/>
                <w:szCs w:val="22"/>
              </w:rPr>
              <w:t xml:space="preserve">By: Andrea P. Reyes, President · DPO/contact: Data Protection Officer: Miguel S. Tan, dpo@ligtascloud.example, +63 2 8666 2000 · Signature and date</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Attach and approve the final processing inventory and data-flow diagram covering fields, sources, systems, interfaces, logs, backups, people, recipients, subprocessors, countries, frequency, volume, retention, and deletion.</w:t>
      </w:r>
    </w:p>
    <w:p>
      <w:pPr>
        <w:pStyle w:val="ListParagraph"/>
        <w:keepNext/>
        <w:numPr>
          <w:ilvl w:val="0"/>
          <w:numId w:val="1"/>
        </w:numPr>
        <w:spacing w:after="120" w:line="264"/>
      </w:pPr>
      <w:r>
        <w:rPr>
          <w:rFonts w:ascii="Calibri" w:cs="Calibri" w:eastAsia="Calibri" w:hAnsi="Calibri"/>
          <w:sz w:val="22"/>
          <w:szCs w:val="22"/>
        </w:rPr>
        <w:t xml:space="preserve">Verify the parties' activity-by-activity PIC/PIP/controller roles; replace or supplement this DPA for independent or joint-controller processing.</w:t>
      </w:r>
    </w:p>
    <w:p>
      <w:pPr>
        <w:pStyle w:val="ListParagraph"/>
        <w:keepNext/>
        <w:numPr>
          <w:ilvl w:val="0"/>
          <w:numId w:val="1"/>
        </w:numPr>
        <w:spacing w:after="120" w:line="264"/>
      </w:pPr>
      <w:r>
        <w:rPr>
          <w:rFonts w:ascii="Calibri" w:cs="Calibri" w:eastAsia="Calibri" w:hAnsi="Calibri"/>
          <w:sz w:val="22"/>
          <w:szCs w:val="22"/>
        </w:rPr>
        <w:t xml:space="preserve">Complete or update the PIA, privacy management program, policies, DPO accountability, records of processing, notices, lawful-basis assessment, rights workflow, breach team, continuity plan, and security evidence before access.</w:t>
      </w:r>
    </w:p>
    <w:p>
      <w:pPr>
        <w:pStyle w:val="ListParagraph"/>
        <w:keepNext/>
        <w:numPr>
          <w:ilvl w:val="0"/>
          <w:numId w:val="1"/>
        </w:numPr>
        <w:spacing w:after="120" w:line="264"/>
      </w:pPr>
      <w:r>
        <w:rPr>
          <w:rFonts w:ascii="Calibri" w:cs="Calibri" w:eastAsia="Calibri" w:hAnsi="Calibri"/>
          <w:sz w:val="22"/>
          <w:szCs w:val="22"/>
        </w:rPr>
        <w:t xml:space="preserve">Recheck current NPC Circular No. 2022-04 registration/exemption, NPCRS, automated decision/profiling notification, renewal/update, DPO, DPS, and current ASIR requirements for both parties.</w:t>
      </w:r>
    </w:p>
    <w:p>
      <w:pPr>
        <w:pStyle w:val="ListParagraph"/>
        <w:keepNext/>
        <w:numPr>
          <w:ilvl w:val="0"/>
          <w:numId w:val="1"/>
        </w:numPr>
        <w:spacing w:after="120" w:line="264"/>
      </w:pPr>
      <w:r>
        <w:rPr>
          <w:rFonts w:ascii="Calibri" w:cs="Calibri" w:eastAsia="Calibri" w:hAnsi="Calibri"/>
          <w:sz w:val="22"/>
          <w:szCs w:val="22"/>
        </w:rPr>
        <w:t xml:space="preserve">Attach and reconcile the selected current model clauses or other safeguards, transfer/country assessment, onward-transfer controls, foreign government-access process, and subprocessor terms; the short DPA paragraph is not a substitute.</w:t>
      </w:r>
    </w:p>
    <w:p>
      <w:pPr>
        <w:pStyle w:val="ListParagraph"/>
        <w:keepNext/>
        <w:numPr>
          <w:ilvl w:val="0"/>
          <w:numId w:val="1"/>
        </w:numPr>
        <w:spacing w:after="120" w:line="264"/>
      </w:pPr>
      <w:r>
        <w:rPr>
          <w:rFonts w:ascii="Calibri" w:cs="Calibri" w:eastAsia="Calibri" w:hAnsi="Calibri"/>
          <w:sz w:val="22"/>
          <w:szCs w:val="22"/>
        </w:rPr>
        <w:t xml:space="preserve">Test the incident contact tree, 24/7 escalation, evidence access, reporting fields, containment authority, controller decision path, DBNMS process, secure notifications, 72-hour readiness, and the full breach report due to the NPC within five days from discovery (NPC Advisory No. 2026-02) with a tabletop exercise.</w:t>
      </w:r>
    </w:p>
    <w:p>
      <w:pPr>
        <w:pStyle w:val="ListParagraph"/>
        <w:keepNext/>
        <w:numPr>
          <w:ilvl w:val="0"/>
          <w:numId w:val="1"/>
        </w:numPr>
        <w:spacing w:after="120" w:line="264"/>
      </w:pPr>
      <w:r>
        <w:rPr>
          <w:rFonts w:ascii="Calibri" w:cs="Calibri" w:eastAsia="Calibri" w:hAnsi="Calibri"/>
          <w:sz w:val="22"/>
          <w:szCs w:val="22"/>
        </w:rPr>
        <w:t xml:space="preserve">Test access, correction, objection, erasure/blocking, portability, complaint, automated-decision, legal-hold, return, deletion, backup expiry, and certification workflows using representative records.</w:t>
      </w:r>
    </w:p>
    <w:p>
      <w:pPr>
        <w:pStyle w:val="ListParagraph"/>
        <w:keepNext/>
        <w:numPr>
          <w:ilvl w:val="0"/>
          <w:numId w:val="1"/>
        </w:numPr>
        <w:spacing w:after="120" w:line="264"/>
      </w:pPr>
      <w:r>
        <w:rPr>
          <w:rFonts w:ascii="Calibri" w:cs="Calibri" w:eastAsia="Calibri" w:hAnsi="Calibri"/>
          <w:sz w:val="22"/>
          <w:szCs w:val="22"/>
        </w:rPr>
        <w:t xml:space="preserve">Verify rather than merely accept encryption, key custody, MFA, privileged access, logging, alerting, patching, penetration tests, secure development, segregation, backup restoration, RTO/RPO, physical/media controls, offboarding, retention, and claimed certifications.</w:t>
      </w:r>
    </w:p>
    <w:p>
      <w:pPr>
        <w:pStyle w:val="ListParagraph"/>
        <w:keepNext/>
        <w:numPr>
          <w:ilvl w:val="0"/>
          <w:numId w:val="1"/>
        </w:numPr>
        <w:spacing w:after="120" w:line="264"/>
      </w:pPr>
      <w:r>
        <w:rPr>
          <w:rFonts w:ascii="Calibri" w:cs="Calibri" w:eastAsia="Calibri" w:hAnsi="Calibri"/>
          <w:sz w:val="22"/>
          <w:szCs w:val="22"/>
        </w:rPr>
        <w:t xml:space="preserve">Ensure every approved subprocessor is contracted before access and the schedule identifies its service, data, systems, locations, countries, safeguards, monitoring, and change route.</w:t>
      </w:r>
    </w:p>
    <w:p>
      <w:pPr>
        <w:pStyle w:val="ListParagraph"/>
        <w:keepNext w:val="false"/>
        <w:numPr>
          <w:ilvl w:val="0"/>
          <w:numId w:val="1"/>
        </w:numPr>
        <w:spacing w:after="120" w:line="264"/>
      </w:pPr>
      <w:r>
        <w:rPr>
          <w:rFonts w:ascii="Calibri" w:cs="Calibri" w:eastAsia="Calibri" w:hAnsi="Calibri"/>
          <w:sz w:val="22"/>
          <w:szCs w:val="22"/>
        </w:rPr>
        <w:t xml:space="preserve">Obtain sector-specific privacy, cybersecurity, secrecy, banking, health, employment, education/minor, government, telecommunications, localization, retention, or regulator review where the facts require it.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Engineering draft · independent Philippine privacy-lawyer and security review pending | Last legal check 2026-10-01 | Next review due 2026-10-31</w:t>
      </w:r>
    </w:p>
    <w:p>
      <w:pPr>
        <w:keepNext/>
        <w:spacing w:after="60" w:before="100"/>
      </w:pPr>
      <w:r>
        <w:rPr>
          <w:rFonts w:ascii="Calibri" w:cs="Calibri" w:eastAsia="Calibri" w:hAnsi="Calibri"/>
          <w:b/>
          <w:bCs/>
          <w:sz w:val="18"/>
          <w:szCs w:val="18"/>
        </w:rPr>
        <w:t xml:space="preserve">Republic Act No. 10173 — Data Privacy Act of 2012 - General privacy principles, lawful criteria, sensitive personal information, data-subject rights, security, accountability, outsourcing, breach, offenses, and extraterritorial application (checked 2026-08-30)</w:t>
      </w:r>
    </w:p>
    <w:p>
      <w:pPr>
        <w:spacing w:after="120"/>
      </w:pPr>
      <w:hyperlink w:history="1" r:id="rIdchqsplfyquzh0onqvuqvl">
        <w:r>
          <w:rPr>
            <w:rFonts w:ascii="Calibri" w:cs="Calibri" w:eastAsia="Calibri" w:hAnsi="Calibri"/>
            <w:color w:val="315B75"/>
            <w:sz w:val="17"/>
            <w:szCs w:val="17"/>
            <w:u w:val="single"/>
          </w:rPr>
          <w:t xml:space="preserve">https://privacy.gov.ph/data-privacy-act/</w:t>
        </w:r>
      </w:hyperlink>
    </w:p>
    <w:p>
      <w:pPr>
        <w:keepNext/>
        <w:spacing w:after="60" w:before="100"/>
      </w:pPr>
      <w:r>
        <w:rPr>
          <w:rFonts w:ascii="Calibri" w:cs="Calibri" w:eastAsia="Calibri" w:hAnsi="Calibri"/>
          <w:b/>
          <w:bCs/>
          <w:sz w:val="18"/>
          <w:szCs w:val="18"/>
        </w:rPr>
        <w:t xml:space="preserve">Implementing Rules and Regulations of the Data Privacy Act - Sections 43–45 — outsourcing contract content, documented instructions, confidentiality, security, subprocessors, rights assistance, compliance assistance, deletion/return, audit, and unlawful-instruction notice (checked 2026-08-30)</w:t>
      </w:r>
    </w:p>
    <w:p>
      <w:pPr>
        <w:spacing w:after="120"/>
      </w:pPr>
      <w:hyperlink w:history="1" r:id="rIdl4nsjlskruprn3vzo-qxe">
        <w:r>
          <w:rPr>
            <w:rFonts w:ascii="Calibri" w:cs="Calibri" w:eastAsia="Calibri" w:hAnsi="Calibri"/>
            <w:color w:val="315B75"/>
            <w:sz w:val="17"/>
            <w:szCs w:val="17"/>
            <w:u w:val="single"/>
          </w:rPr>
          <w:t xml:space="preserve">https://privacy.gov.ph/wp-content/uploads/2023/06/IRR_RA-10173-as-amended.pdf</w:t>
        </w:r>
      </w:hyperlink>
    </w:p>
    <w:p>
      <w:pPr>
        <w:keepNext/>
        <w:spacing w:after="60" w:before="100"/>
      </w:pPr>
      <w:r>
        <w:rPr>
          <w:rFonts w:ascii="Calibri" w:cs="Calibri" w:eastAsia="Calibri" w:hAnsi="Calibri"/>
          <w:b/>
          <w:bCs/>
          <w:sz w:val="18"/>
          <w:szCs w:val="18"/>
        </w:rPr>
        <w:t xml:space="preserve">NPC Circular No. 2023-06 — Security of Personal Data - Current organizational, physical, and technical security; DPO/DPS, PIA, privacy management, access, storage, logging, continuity, testing, disposal, and accountability requirements (checked 2026-08-30)</w:t>
      </w:r>
    </w:p>
    <w:p>
      <w:pPr>
        <w:spacing w:after="120"/>
      </w:pPr>
      <w:hyperlink w:history="1" r:id="rId7l7-bgbbb6le6vzn6nbnr">
        <w:r>
          <w:rPr>
            <w:rFonts w:ascii="Calibri" w:cs="Calibri" w:eastAsia="Calibri" w:hAnsi="Calibri"/>
            <w:color w:val="315B75"/>
            <w:sz w:val="17"/>
            <w:szCs w:val="17"/>
            <w:u w:val="single"/>
          </w:rPr>
          <w:t xml:space="preserve">https://privacy.gov.ph/wp-content/uploads/2024/03/NPC-Circular-Repeal-16-01-Signed.pdf</w:t>
        </w:r>
      </w:hyperlink>
    </w:p>
    <w:p>
      <w:pPr>
        <w:keepNext/>
        <w:spacing w:after="60" w:before="100"/>
      </w:pPr>
      <w:r>
        <w:rPr>
          <w:rFonts w:ascii="Calibri" w:cs="Calibri" w:eastAsia="Calibri" w:hAnsi="Calibri"/>
          <w:b/>
          <w:bCs/>
          <w:sz w:val="18"/>
          <w:szCs w:val="18"/>
        </w:rPr>
        <w:t xml:space="preserve">NPC Circular No. 16-03 — Personal Data Breach Management - Incident response, processor reporting, documentation, assessment, controller notification duty, and current 72-hour notification framework (checked 2026-08-30)</w:t>
      </w:r>
    </w:p>
    <w:p>
      <w:pPr>
        <w:spacing w:after="120"/>
      </w:pPr>
      <w:hyperlink w:history="1" r:id="rIdojou5wpikwtzrzo9zh6g2">
        <w:r>
          <w:rPr>
            <w:rFonts w:ascii="Calibri" w:cs="Calibri" w:eastAsia="Calibri" w:hAnsi="Calibri"/>
            <w:color w:val="315B75"/>
            <w:sz w:val="17"/>
            <w:szCs w:val="17"/>
            <w:u w:val="single"/>
          </w:rPr>
          <w:t xml:space="preserve">https://privacy.gov.ph/wp-content/uploads/2016/12/sgd-npc-circular-16-03-personal-data-breach-management.pdf</w:t>
        </w:r>
      </w:hyperlink>
    </w:p>
    <w:p>
      <w:pPr>
        <w:keepNext/>
        <w:spacing w:after="60" w:before="100"/>
      </w:pPr>
      <w:r>
        <w:rPr>
          <w:rFonts w:ascii="Calibri" w:cs="Calibri" w:eastAsia="Calibri" w:hAnsi="Calibri"/>
          <w:b/>
          <w:bCs/>
          <w:sz w:val="18"/>
          <w:szCs w:val="18"/>
        </w:rPr>
        <w:t xml:space="preserve">NPC Advisory No. 2026-02 — Clarification on the Submission of Personal Data Breach Notification through the DBNMS - Sec. 2: requests for postponement, exemption, or alternative notification through the DBNMS; unless the NPC acts on a request, the controller submits its full breach report within five days from discovery; NPC inaction is not approval (checked 2026-10-01)</w:t>
      </w:r>
    </w:p>
    <w:p>
      <w:pPr>
        <w:spacing w:after="120"/>
      </w:pPr>
      <w:hyperlink w:history="1" r:id="rIdltkgyhkuk3d78orfpyquo">
        <w:r>
          <w:rPr>
            <w:rFonts w:ascii="Calibri" w:cs="Calibri" w:eastAsia="Calibri" w:hAnsi="Calibri"/>
            <w:color w:val="315B75"/>
            <w:sz w:val="17"/>
            <w:szCs w:val="17"/>
            <w:u w:val="single"/>
          </w:rPr>
          <w:t xml:space="preserve">https://privacy.gov.ph/wp-content/uploads/2026/05/Advisory-Clarification-on-the-Submission-of-Personal-Data-Breach-Notification-through-DBNMS_11-May-2026.pdf</w:t>
        </w:r>
      </w:hyperlink>
    </w:p>
    <w:p>
      <w:pPr>
        <w:keepNext/>
        <w:spacing w:after="60" w:before="100"/>
      </w:pPr>
      <w:r>
        <w:rPr>
          <w:rFonts w:ascii="Calibri" w:cs="Calibri" w:eastAsia="Calibri" w:hAnsi="Calibri"/>
          <w:b/>
          <w:bCs/>
          <w:sz w:val="18"/>
          <w:szCs w:val="18"/>
        </w:rPr>
        <w:t xml:space="preserve">NPC Circular No. 2022-04 — DPO and Data Processing System Registration - Mandatory/voluntary registration, exemptions, processing records, automated decision/profiling, updates, renewal, and NPCRS requirements (checked 2026-08-30)</w:t>
      </w:r>
    </w:p>
    <w:p>
      <w:pPr>
        <w:spacing w:after="120"/>
      </w:pPr>
      <w:hyperlink w:history="1" r:id="rIdkkqxqijo4fqi8jidn_sid">
        <w:r>
          <w:rPr>
            <w:rFonts w:ascii="Calibri" w:cs="Calibri" w:eastAsia="Calibri" w:hAnsi="Calibri"/>
            <w:color w:val="315B75"/>
            <w:sz w:val="17"/>
            <w:szCs w:val="17"/>
            <w:u w:val="single"/>
          </w:rPr>
          <w:t xml:space="preserve">https://privacy.gov.ph/wp-content/uploads/2023/05/Circular-2022-04.pdf</w:t>
        </w:r>
      </w:hyperlink>
    </w:p>
    <w:p>
      <w:pPr>
        <w:keepNext/>
        <w:spacing w:after="60" w:before="100"/>
      </w:pPr>
      <w:r>
        <w:rPr>
          <w:rFonts w:ascii="Calibri" w:cs="Calibri" w:eastAsia="Calibri" w:hAnsi="Calibri"/>
          <w:b/>
          <w:bCs/>
          <w:sz w:val="18"/>
          <w:szCs w:val="18"/>
        </w:rPr>
        <w:t xml:space="preserve">NPC Advisory No. 2024-01 — Model Contractual Clauses for Cross-Border Transfers - Availability and accountable use of model contractual clauses for cross-border personal-data transfers (checked 2026-08-30)</w:t>
      </w:r>
    </w:p>
    <w:p>
      <w:pPr>
        <w:spacing w:after="120"/>
      </w:pPr>
      <w:hyperlink w:history="1" r:id="rIdatg2ajc2luxhq74ii8luu">
        <w:r>
          <w:rPr>
            <w:rFonts w:ascii="Calibri" w:cs="Calibri" w:eastAsia="Calibri" w:hAnsi="Calibri"/>
            <w:color w:val="315B75"/>
            <w:sz w:val="17"/>
            <w:szCs w:val="17"/>
            <w:u w:val="single"/>
          </w:rPr>
          <w:t xml:space="preserve">https://privacy.gov.ph/wp-content/uploads/2024/06/Published-NPC-Advisory-No.-2024-01-Contractual-Clauses-for-Cross-Border-Transfers_30May24.pdf</w:t>
        </w:r>
      </w:hyperlink>
    </w:p>
    <w:p>
      <w:pPr>
        <w:keepNext/>
        <w:spacing w:after="60" w:before="100"/>
      </w:pPr>
      <w:r>
        <w:rPr>
          <w:rFonts w:ascii="Calibri" w:cs="Calibri" w:eastAsia="Calibri" w:hAnsi="Calibri"/>
          <w:b/>
          <w:bCs/>
          <w:sz w:val="18"/>
          <w:szCs w:val="18"/>
        </w:rPr>
        <w:t xml:space="preserve">Republic Act No. 8792 — Electronic Commerce Act - Electronic documents, signatures, attribution, integrity, retention, admissibility, and recognition (checked 2026-08-30)</w:t>
      </w:r>
    </w:p>
    <w:p>
      <w:pPr>
        <w:spacing w:after="120"/>
      </w:pPr>
      <w:hyperlink w:history="1" r:id="rIdvlc4ds_-jqlmlnjydhe1y">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qsplfyquzh0onqvuqvl" Type="http://schemas.openxmlformats.org/officeDocument/2006/relationships/hyperlink" Target="https://privacy.gov.ph/data-privacy-act/" TargetMode="External"/><Relationship Id="rIdl4nsjlskruprn3vzo-qxe" Type="http://schemas.openxmlformats.org/officeDocument/2006/relationships/hyperlink" Target="https://privacy.gov.ph/wp-content/uploads/2023/06/IRR_RA-10173-as-amended.pdf" TargetMode="External"/><Relationship Id="rId7l7-bgbbb6le6vzn6nbnr" Type="http://schemas.openxmlformats.org/officeDocument/2006/relationships/hyperlink" Target="https://privacy.gov.ph/wp-content/uploads/2024/03/NPC-Circular-Repeal-16-01-Signed.pdf" TargetMode="External"/><Relationship Id="rIdojou5wpikwtzrzo9zh6g2" Type="http://schemas.openxmlformats.org/officeDocument/2006/relationships/hyperlink" Target="https://privacy.gov.ph/wp-content/uploads/2016/12/sgd-npc-circular-16-03-personal-data-breach-management.pdf" TargetMode="External"/><Relationship Id="rIdltkgyhkuk3d78orfpyquo" Type="http://schemas.openxmlformats.org/officeDocument/2006/relationships/hyperlink" Target="https://privacy.gov.ph/wp-content/uploads/2026/05/Advisory-Clarification-on-the-Submission-of-Personal-Data-Breach-Notification-through-DBNMS_11-May-2026.pdf" TargetMode="External"/><Relationship Id="rIdkkqxqijo4fqi8jidn_sid" Type="http://schemas.openxmlformats.org/officeDocument/2006/relationships/hyperlink" Target="https://privacy.gov.ph/wp-content/uploads/2023/05/Circular-2022-04.pdf" TargetMode="External"/><Relationship Id="rIdatg2ajc2luxhq74ii8luu" Type="http://schemas.openxmlformats.org/officeDocument/2006/relationships/hyperlink" Target="https://privacy.gov.ph/wp-content/uploads/2024/06/Published-NPC-Advisory-No.-2024-01-Contractual-Clauses-for-Cross-Border-Transfers_30May24.pdf" TargetMode="External"/><Relationship Id="rIdvlc4ds_-jqlmlnjydhe1y" Type="http://schemas.openxmlformats.org/officeDocument/2006/relationships/hyperlink" Target="https://lawphil.net/statutes/repacts/ra2000/ra_8792_2000.html"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LAW.PH</dc:creator>
  <dc:description>Free sample of the Data Processing Agreement from LAW.PH, with fictional details</dc:description>
  <cp:lastModifiedBy>Un-named</cp:lastModifiedBy>
  <cp:revision>1</cp:revision>
  <dcterms:created xsi:type="dcterms:W3CDTF">2026-10-02T05:29:56.970Z</dcterms:created>
  <dcterms:modified xsi:type="dcterms:W3CDTF">2026-10-02T05:29:56.970Z</dcterms:modified>
</cp:coreProperties>
</file>

<file path=docProps/custom.xml><?xml version="1.0" encoding="utf-8"?>
<Properties xmlns="http://schemas.openxmlformats.org/officeDocument/2006/custom-properties" xmlns:vt="http://schemas.openxmlformats.org/officeDocument/2006/docPropsVTypes"/>
</file>