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DATA SHARING AGREEMENT</w:t>
      </w:r>
    </w:p>
    <w:p>
      <w:pPr>
        <w:spacing w:after="160"/>
        <w:jc w:val="center"/>
      </w:pPr>
      <w:r>
        <w:rPr>
          <w:rFonts w:ascii="Calibri" w:cs="Calibri" w:eastAsia="Calibri" w:hAnsi="Calibri"/>
          <w:color w:val="566674"/>
          <w:sz w:val="18"/>
          <w:szCs w:val="18"/>
        </w:rPr>
        <w:t xml:space="preserve">Republic of the Philippines — Controller-to-controller data sharing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privacy-lawyer review pending</w:t>
      </w:r>
    </w:p>
    <w:p>
      <w:pPr>
        <w:keepLines/>
        <w:spacing w:after="120" w:line="264"/>
        <w:jc w:val="both"/>
      </w:pPr>
      <w:r>
        <w:rPr>
          <w:rFonts w:ascii="Calibri" w:cs="Calibri" w:eastAsia="Calibri" w:hAnsi="Calibri"/>
          <w:sz w:val="22"/>
          <w:szCs w:val="22"/>
        </w:rPr>
        <w:t xml:space="preserve">This Data Sharing Agreement (the "Agreement") is made on September 29, 2026 between Bayanihan Digital Services, Inc., with address at 18/F One Ayala Tower, Ayala Avenue, Makati City 1226 (the "Discloser"), and Mabuhay Insurance Brokers Corporation, with address at 3 Ortigas Center, Pasig City 1605 (the "Recipient").</w:t>
      </w:r>
    </w:p>
    <w:p>
      <w:pPr>
        <w:pStyle w:val="Heading2"/>
        <w:keepNext/>
        <w:spacing w:after="120" w:before="240"/>
      </w:pPr>
      <w:r>
        <w:rPr>
          <w:rFonts w:ascii="Calibri" w:cs="Calibri" w:eastAsia="Calibri" w:hAnsi="Calibri"/>
          <w:b/>
          <w:bCs/>
          <w:color w:val="102B3F"/>
          <w:sz w:val="26"/>
          <w:szCs w:val="26"/>
        </w:rPr>
        <w:t xml:space="preserve">1. Roles and Data Protection Officers</w:t>
      </w:r>
    </w:p>
    <w:p>
      <w:pPr>
        <w:keepLines/>
        <w:spacing w:after="120" w:line="264"/>
        <w:jc w:val="both"/>
      </w:pPr>
      <w:r>
        <w:rPr>
          <w:rFonts w:ascii="Calibri" w:cs="Calibri" w:eastAsia="Calibri" w:hAnsi="Calibri"/>
          <w:sz w:val="22"/>
          <w:szCs w:val="22"/>
        </w:rPr>
        <w:t xml:space="preserve">Each of the Discloser and the Recipient is a personal information controller under the Data Privacy Act of 2012 and decides for itself how it uses the personal data it holds. Neither acts as the other's processor under this Agreement.</w:t>
      </w:r>
    </w:p>
    <w:p>
      <w:pPr>
        <w:keepLines/>
        <w:spacing w:after="120" w:line="264"/>
        <w:jc w:val="both"/>
      </w:pPr>
      <w:r>
        <w:rPr>
          <w:rFonts w:ascii="Calibri" w:cs="Calibri" w:eastAsia="Calibri" w:hAnsi="Calibri"/>
          <w:sz w:val="22"/>
          <w:szCs w:val="22"/>
        </w:rPr>
        <w:t xml:space="preserve">The Discloser's Data Protection Officer is Andrea M. Reyes, dpo@bayanihan.example. The Recipient's Data Protection Officer is Carlo P. Mendoza, privacy@mabuhay.example. Each party shall tell the other of any change.</w:t>
      </w:r>
    </w:p>
    <w:p>
      <w:pPr>
        <w:pStyle w:val="Heading2"/>
        <w:keepNext/>
        <w:spacing w:after="120" w:before="240"/>
      </w:pPr>
      <w:r>
        <w:rPr>
          <w:rFonts w:ascii="Calibri" w:cs="Calibri" w:eastAsia="Calibri" w:hAnsi="Calibri"/>
          <w:b/>
          <w:bCs/>
          <w:color w:val="102B3F"/>
          <w:sz w:val="26"/>
          <w:szCs w:val="26"/>
        </w:rPr>
        <w:t xml:space="preserve">2. Purpose and lawful bases</w:t>
      </w:r>
    </w:p>
    <w:p>
      <w:pPr>
        <w:keepLines/>
        <w:spacing w:after="120" w:line="264"/>
        <w:jc w:val="both"/>
      </w:pPr>
      <w:r>
        <w:rPr>
          <w:rFonts w:ascii="Calibri" w:cs="Calibri" w:eastAsia="Calibri" w:hAnsi="Calibri"/>
          <w:sz w:val="22"/>
          <w:szCs w:val="22"/>
        </w:rPr>
        <w:t xml:space="preserve">The Discloser shall share personal data with the Recipient only for this specific purpose: To allow the Recipient to verify the identity and coverage eligibility of the Discloser's employees who apply for the group insurance plan the Discloser has arranged, and to issue their policies.</w:t>
      </w:r>
    </w:p>
    <w:p>
      <w:pPr>
        <w:keepLines/>
        <w:spacing w:after="120" w:line="264"/>
        <w:jc w:val="both"/>
      </w:pPr>
      <w:r>
        <w:rPr>
          <w:rFonts w:ascii="Calibri" w:cs="Calibri" w:eastAsia="Calibri" w:hAnsi="Calibri"/>
          <w:sz w:val="22"/>
          <w:szCs w:val="22"/>
        </w:rPr>
        <w:t xml:space="preserve">The Discloser relies on the necessity of the processing for a contract with the data subjects as its lawful basis for the sharing. The Recipient relies on the necessity of the processing for a contract with the data subjects as its lawful basis for receiving and using the data.</w:t>
      </w:r>
    </w:p>
    <w:p>
      <w:pPr>
        <w:keepLines/>
        <w:spacing w:after="120" w:line="264"/>
        <w:jc w:val="both"/>
      </w:pPr>
      <w:r>
        <w:rPr>
          <w:rFonts w:ascii="Calibri" w:cs="Calibri" w:eastAsia="Calibri" w:hAnsi="Calibri"/>
          <w:sz w:val="22"/>
          <w:szCs w:val="22"/>
        </w:rPr>
        <w:t xml:space="preserve">This Agreement does not by itself create a lawful basis for the sharing. Each party remains responsible for having its own basis, notices, and safeguards.</w:t>
      </w:r>
    </w:p>
    <w:p>
      <w:pPr>
        <w:pStyle w:val="Heading2"/>
        <w:keepNext/>
        <w:spacing w:after="120" w:before="240"/>
      </w:pPr>
      <w:r>
        <w:rPr>
          <w:rFonts w:ascii="Calibri" w:cs="Calibri" w:eastAsia="Calibri" w:hAnsi="Calibri"/>
          <w:b/>
          <w:bCs/>
          <w:color w:val="102B3F"/>
          <w:sz w:val="26"/>
          <w:szCs w:val="26"/>
        </w:rPr>
        <w:t xml:space="preserve">3. Data shared</w:t>
      </w:r>
    </w:p>
    <w:p>
      <w:pPr>
        <w:keepLines/>
        <w:spacing w:after="120" w:line="264"/>
        <w:jc w:val="both"/>
      </w:pPr>
      <w:r>
        <w:rPr>
          <w:rFonts w:ascii="Calibri" w:cs="Calibri" w:eastAsia="Calibri" w:hAnsi="Calibri"/>
          <w:sz w:val="22"/>
          <w:szCs w:val="22"/>
        </w:rPr>
        <w:t xml:space="preserve">The data relates to employees, and includes identity details, contact details, employment information and age or date of birth. The specific fields are: Full name, date of birth, work email, mobile number, employee number, position, and date of hire of each employee who enrolls in the group insurance plan.</w:t>
      </w:r>
    </w:p>
    <w:p>
      <w:pPr>
        <w:keepLines/>
        <w:spacing w:after="120" w:line="264"/>
        <w:jc w:val="both"/>
      </w:pPr>
      <w:r>
        <w:rPr>
          <w:rFonts w:ascii="Calibri" w:cs="Calibri" w:eastAsia="Calibri" w:hAnsi="Calibri"/>
          <w:sz w:val="22"/>
          <w:szCs w:val="22"/>
        </w:rPr>
        <w:t xml:space="preserve">The volume is 100 to 1,000 individuals, shared periodically, by Encrypted file over SFTP, sent once each enrollment period.</w:t>
      </w:r>
    </w:p>
    <w:p>
      <w:pPr>
        <w:keepLines/>
        <w:spacing w:after="120" w:line="264"/>
        <w:jc w:val="both"/>
      </w:pPr>
      <w:r>
        <w:rPr>
          <w:rFonts w:ascii="Calibri" w:cs="Calibri" w:eastAsia="Calibri" w:hAnsi="Calibri"/>
          <w:sz w:val="22"/>
          <w:szCs w:val="22"/>
        </w:rPr>
        <w:t xml:space="preserve">The data includes sensitive personal information under Section 3(l) of the Data Privacy Act, namely age or date of birth. Processing it is prohibited except on a ground in Section 13 of the Act, and a contract or legitimate interests is not such a ground. The parties process it only on the basis of the consent of the data subjects, specific to this purpose and given before the processing (Section 13), and the Recipient shall give it the highest level of protection.</w:t>
      </w:r>
    </w:p>
    <w:p>
      <w:pPr>
        <w:keepLines/>
        <w:spacing w:after="120" w:line="264"/>
        <w:jc w:val="both"/>
      </w:pPr>
      <w:r>
        <w:rPr>
          <w:rFonts w:ascii="Calibri" w:cs="Calibri" w:eastAsia="Calibri" w:hAnsi="Calibri"/>
          <w:sz w:val="22"/>
          <w:szCs w:val="22"/>
        </w:rPr>
        <w:t xml:space="preserve">The specific consent for the sensitive data was obtained and recorded as follows: Each employee who enrolls ticks a separate, unticked box on the enrollment form agreeing that their date of birth be shared with the Recipient for the group insurance plan. The form records the date and time of consent. Each party shall stop sharing or using the sensitive data of anyone who withdraws that consent.</w:t>
      </w:r>
    </w:p>
    <w:p>
      <w:pPr>
        <w:keepLines/>
        <w:spacing w:after="120" w:line="264"/>
        <w:jc w:val="both"/>
      </w:pPr>
      <w:r>
        <w:rPr>
          <w:rFonts w:ascii="Calibri" w:cs="Calibri" w:eastAsia="Calibri" w:hAnsi="Calibri"/>
          <w:sz w:val="22"/>
          <w:szCs w:val="22"/>
        </w:rPr>
        <w:t xml:space="preserve">The Discloser shall share only the data the purpose needs, and the Recipient shall use it for no other purpose.</w:t>
      </w:r>
    </w:p>
    <w:p>
      <w:pPr>
        <w:pStyle w:val="Heading2"/>
        <w:keepNext/>
        <w:spacing w:after="120" w:before="240"/>
      </w:pPr>
      <w:r>
        <w:rPr>
          <w:rFonts w:ascii="Calibri" w:cs="Calibri" w:eastAsia="Calibri" w:hAnsi="Calibri"/>
          <w:b/>
          <w:bCs/>
          <w:color w:val="102B3F"/>
          <w:sz w:val="26"/>
          <w:szCs w:val="26"/>
        </w:rPr>
        <w:t xml:space="preserve">4. Information to data subjects and their rights</w:t>
      </w:r>
    </w:p>
    <w:p>
      <w:pPr>
        <w:keepLines/>
        <w:spacing w:after="120" w:line="264"/>
        <w:jc w:val="both"/>
      </w:pPr>
      <w:r>
        <w:rPr>
          <w:rFonts w:ascii="Calibri" w:cs="Calibri" w:eastAsia="Calibri" w:hAnsi="Calibri"/>
          <w:sz w:val="22"/>
          <w:szCs w:val="22"/>
        </w:rPr>
        <w:t xml:space="preserve">Before the data is shared, the data subjects are told who will receive it, why, what data is involved, their rights, and how to reach the Data Protection Officer.</w:t>
      </w:r>
    </w:p>
    <w:p>
      <w:pPr>
        <w:keepLines/>
        <w:spacing w:after="120" w:line="264"/>
        <w:jc w:val="both"/>
      </w:pPr>
      <w:r>
        <w:rPr>
          <w:rFonts w:ascii="Calibri" w:cs="Calibri" w:eastAsia="Calibri" w:hAnsi="Calibri"/>
          <w:sz w:val="22"/>
          <w:szCs w:val="22"/>
        </w:rPr>
        <w:t xml:space="preserve">Each party shall handle the requests it receives to access, correct, object to, or erase data, or to withdraw consent, and shall tell the other within 7 days of any request that affects the shared data.</w:t>
      </w:r>
    </w:p>
    <w:p>
      <w:pPr>
        <w:keepLines/>
        <w:spacing w:after="120" w:line="264"/>
        <w:jc w:val="both"/>
      </w:pPr>
      <w:r>
        <w:rPr>
          <w:rFonts w:ascii="Calibri" w:cs="Calibri" w:eastAsia="Calibri" w:hAnsi="Calibri"/>
          <w:sz w:val="22"/>
          <w:szCs w:val="22"/>
        </w:rPr>
        <w:t xml:space="preserve">Each party shall honor the rights of data subjects under Section 16 of the Data Privacy Act and shall not make it harder for them to exercise those rights.</w:t>
      </w:r>
    </w:p>
    <w:p>
      <w:pPr>
        <w:keepLines/>
        <w:spacing w:after="120" w:line="264"/>
        <w:jc w:val="both"/>
      </w:pPr>
      <w:r>
        <w:rPr>
          <w:rFonts w:ascii="Calibri" w:cs="Calibri" w:eastAsia="Calibri" w:hAnsi="Calibri"/>
          <w:sz w:val="22"/>
          <w:szCs w:val="22"/>
        </w:rPr>
        <w:t xml:space="preserve">Each party is responsible for answering the information requests and complaints it receives from data subjects about the shared data, and for answering any inquiry or investigation of the National Privacy Commission about its own processing. The other party shall cooperate. The Commission makes the final determination of which party is liable for a violation.</w:t>
      </w:r>
    </w:p>
    <w:p>
      <w:pPr>
        <w:keepLines/>
        <w:spacing w:after="120" w:line="264"/>
        <w:jc w:val="both"/>
      </w:pPr>
      <w:r>
        <w:rPr>
          <w:rFonts w:ascii="Calibri" w:cs="Calibri" w:eastAsia="Calibri" w:hAnsi="Calibri"/>
          <w:sz w:val="22"/>
          <w:szCs w:val="22"/>
        </w:rPr>
        <w:t xml:space="preserve">A data subject may ask either party's Data Protection Officer for a copy of this Agreement, and that party shall provide it within 7 days. Before providing it, a party may redact trade or industrial secrets, confidential and proprietary business information, and any detail that could compromise its information systems or the confidentiality, integrity, or availability of the personal data it holds (NPC Circular No. 2020-03, Section 9(G)).</w:t>
      </w:r>
    </w:p>
    <w:p>
      <w:pPr>
        <w:pStyle w:val="Heading2"/>
        <w:keepNext/>
        <w:spacing w:after="120" w:before="240"/>
      </w:pPr>
      <w:r>
        <w:rPr>
          <w:rFonts w:ascii="Calibri" w:cs="Calibri" w:eastAsia="Calibri" w:hAnsi="Calibri"/>
          <w:b/>
          <w:bCs/>
          <w:color w:val="102B3F"/>
          <w:sz w:val="26"/>
          <w:szCs w:val="26"/>
        </w:rPr>
        <w:t xml:space="preserve">5. Limits on use and onward sharing</w:t>
      </w:r>
    </w:p>
    <w:p>
      <w:pPr>
        <w:keepLines/>
        <w:spacing w:after="120" w:line="264"/>
        <w:jc w:val="both"/>
      </w:pPr>
      <w:r>
        <w:rPr>
          <w:rFonts w:ascii="Calibri" w:cs="Calibri" w:eastAsia="Calibri" w:hAnsi="Calibri"/>
          <w:sz w:val="22"/>
          <w:szCs w:val="22"/>
        </w:rPr>
        <w:t xml:space="preserve">The Recipient shall use the data only for the purpose in Section 2 and shall not process it in a way that is incompatible with that purpose.</w:t>
      </w:r>
    </w:p>
    <w:p>
      <w:pPr>
        <w:keepLines/>
        <w:spacing w:after="120" w:line="264"/>
        <w:jc w:val="both"/>
      </w:pPr>
      <w:r>
        <w:rPr>
          <w:rFonts w:ascii="Calibri" w:cs="Calibri" w:eastAsia="Calibri" w:hAnsi="Calibri"/>
          <w:sz w:val="22"/>
          <w:szCs w:val="22"/>
        </w:rPr>
        <w:t xml:space="preserve">The Recipient shall not share the data with any other person.</w:t>
      </w:r>
    </w:p>
    <w:p>
      <w:pPr>
        <w:keepLines/>
        <w:spacing w:after="120" w:line="264"/>
        <w:jc w:val="both"/>
      </w:pPr>
      <w:r>
        <w:rPr>
          <w:rFonts w:ascii="Calibri" w:cs="Calibri" w:eastAsia="Calibri" w:hAnsi="Calibri"/>
          <w:sz w:val="22"/>
          <w:szCs w:val="22"/>
        </w:rPr>
        <w:t xml:space="preserve">The data shall stay in the Philippines.</w:t>
      </w:r>
    </w:p>
    <w:p>
      <w:pPr>
        <w:pStyle w:val="Heading2"/>
        <w:keepNext/>
        <w:spacing w:after="120" w:before="240"/>
      </w:pPr>
      <w:r>
        <w:rPr>
          <w:rFonts w:ascii="Calibri" w:cs="Calibri" w:eastAsia="Calibri" w:hAnsi="Calibri"/>
          <w:b/>
          <w:bCs/>
          <w:color w:val="102B3F"/>
          <w:sz w:val="26"/>
          <w:szCs w:val="26"/>
        </w:rPr>
        <w:t xml:space="preserve">6. Security</w:t>
      </w:r>
    </w:p>
    <w:p>
      <w:pPr>
        <w:keepLines/>
        <w:spacing w:after="120" w:line="264"/>
        <w:jc w:val="both"/>
      </w:pPr>
      <w:r>
        <w:rPr>
          <w:rFonts w:ascii="Calibri" w:cs="Calibri" w:eastAsia="Calibri" w:hAnsi="Calibri"/>
          <w:sz w:val="22"/>
          <w:szCs w:val="22"/>
        </w:rPr>
        <w:t xml:space="preserve">The Recipient shall keep at least these measures: encryption in transit, encryption at rest, role-based access control, access and audit logs and staff confidentiality undertakings. Access shall be limited to personnel who need the data for the purpose and who are bound to keep it confidential.</w:t>
      </w:r>
    </w:p>
    <w:p>
      <w:pPr>
        <w:keepLines/>
        <w:spacing w:after="120" w:line="264"/>
        <w:jc w:val="both"/>
      </w:pPr>
      <w:r>
        <w:rPr>
          <w:rFonts w:ascii="Calibri" w:cs="Calibri" w:eastAsia="Calibri" w:hAnsi="Calibri"/>
          <w:sz w:val="22"/>
          <w:szCs w:val="22"/>
        </w:rPr>
        <w:t xml:space="preserve">Each party shall keep organizational, physical, and technical measures that match the risk, and shall let its Data Protection Officer oversee compliance.</w:t>
      </w:r>
    </w:p>
    <w:p>
      <w:pPr>
        <w:pStyle w:val="Heading2"/>
        <w:keepNext/>
        <w:spacing w:after="120" w:before="240"/>
      </w:pPr>
      <w:r>
        <w:rPr>
          <w:rFonts w:ascii="Calibri" w:cs="Calibri" w:eastAsia="Calibri" w:hAnsi="Calibri"/>
          <w:b/>
          <w:bCs/>
          <w:color w:val="102B3F"/>
          <w:sz w:val="26"/>
          <w:szCs w:val="26"/>
        </w:rPr>
        <w:t xml:space="preserve">7. Retention and disposal</w:t>
      </w:r>
    </w:p>
    <w:p>
      <w:pPr>
        <w:keepLines/>
        <w:spacing w:after="120" w:line="264"/>
        <w:jc w:val="both"/>
      </w:pPr>
      <w:r>
        <w:rPr>
          <w:rFonts w:ascii="Calibri" w:cs="Calibri" w:eastAsia="Calibri" w:hAnsi="Calibri"/>
          <w:sz w:val="22"/>
          <w:szCs w:val="22"/>
        </w:rPr>
        <w:t xml:space="preserve">The Recipient may keep the data for up to 24 months and no longer than the purpose needs. At the end, the Recipient shall securely delete the data and confirm the deletion in writing.</w:t>
      </w:r>
    </w:p>
    <w:p>
      <w:pPr>
        <w:pStyle w:val="Heading2"/>
        <w:keepNext/>
        <w:spacing w:after="120" w:before="240"/>
      </w:pPr>
      <w:r>
        <w:rPr>
          <w:rFonts w:ascii="Calibri" w:cs="Calibri" w:eastAsia="Calibri" w:hAnsi="Calibri"/>
          <w:b/>
          <w:bCs/>
          <w:color w:val="102B3F"/>
          <w:sz w:val="26"/>
          <w:szCs w:val="26"/>
        </w:rPr>
        <w:t xml:space="preserve">8. Personal data breach</w:t>
      </w:r>
    </w:p>
    <w:p>
      <w:pPr>
        <w:keepLines/>
        <w:spacing w:after="120" w:line="264"/>
        <w:jc w:val="both"/>
      </w:pPr>
      <w:r>
        <w:rPr>
          <w:rFonts w:ascii="Calibri" w:cs="Calibri" w:eastAsia="Calibri" w:hAnsi="Calibri"/>
          <w:sz w:val="22"/>
          <w:szCs w:val="22"/>
        </w:rPr>
        <w:t xml:space="preserve">A party that discovers a personal data breach affecting the shared data shall tell the other party within 48 hours, with what it knows about the nature, the data and individuals affected, and the steps taken.</w:t>
      </w:r>
    </w:p>
    <w:p>
      <w:pPr>
        <w:keepLines/>
        <w:spacing w:after="120" w:line="264"/>
        <w:jc w:val="both"/>
      </w:pPr>
      <w:r>
        <w:rPr>
          <w:rFonts w:ascii="Calibri" w:cs="Calibri" w:eastAsia="Calibri" w:hAnsi="Calibri"/>
          <w:sz w:val="22"/>
          <w:szCs w:val="22"/>
        </w:rPr>
        <w:t xml:space="preserve">Each party shall notify the National Privacy Commission and the affected data subjects within 72 hours where the law requires, shall cooperate in the investigation and remediation, and shall keep a record of the breach.</w:t>
      </w:r>
    </w:p>
    <w:p>
      <w:pPr>
        <w:pStyle w:val="Heading2"/>
        <w:keepNext/>
        <w:spacing w:after="120" w:before="240"/>
      </w:pPr>
      <w:r>
        <w:rPr>
          <w:rFonts w:ascii="Calibri" w:cs="Calibri" w:eastAsia="Calibri" w:hAnsi="Calibri"/>
          <w:b/>
          <w:bCs/>
          <w:color w:val="102B3F"/>
          <w:sz w:val="26"/>
          <w:szCs w:val="26"/>
        </w:rPr>
        <w:t xml:space="preserve">9. Audit</w:t>
      </w:r>
    </w:p>
    <w:p>
      <w:pPr>
        <w:keepLines/>
        <w:spacing w:after="120" w:line="264"/>
        <w:jc w:val="both"/>
      </w:pPr>
      <w:r>
        <w:rPr>
          <w:rFonts w:ascii="Calibri" w:cs="Calibri" w:eastAsia="Calibri" w:hAnsi="Calibri"/>
          <w:sz w:val="22"/>
          <w:szCs w:val="22"/>
        </w:rPr>
        <w:t xml:space="preserve">The Discloser may, on 15 days' written notice, audit or inspect the Recipient's handling of the shared data, and the Recipient shall cooperate. Each party shall also cooperate with the National Privacy Commission.</w:t>
      </w:r>
    </w:p>
    <w:p>
      <w:pPr>
        <w:pStyle w:val="Heading2"/>
        <w:keepNext/>
        <w:spacing w:after="120" w:before="240"/>
      </w:pPr>
      <w:r>
        <w:rPr>
          <w:rFonts w:ascii="Calibri" w:cs="Calibri" w:eastAsia="Calibri" w:hAnsi="Calibri"/>
          <w:b/>
          <w:bCs/>
          <w:color w:val="102B3F"/>
          <w:sz w:val="26"/>
          <w:szCs w:val="26"/>
        </w:rPr>
        <w:t xml:space="preserve">10. Responsibility</w:t>
      </w:r>
    </w:p>
    <w:p>
      <w:pPr>
        <w:keepLines/>
        <w:spacing w:after="120" w:line="264"/>
        <w:jc w:val="both"/>
      </w:pPr>
      <w:r>
        <w:rPr>
          <w:rFonts w:ascii="Calibri" w:cs="Calibri" w:eastAsia="Calibri" w:hAnsi="Calibri"/>
          <w:sz w:val="22"/>
          <w:szCs w:val="22"/>
        </w:rPr>
        <w:t xml:space="preserve">Each party is responsible for its own processing of the data and for its own compliance with the Data Privacy Act. Nothing here limits liability for fraud, willful misconduct, or gross negligence, or the rights of data subjects.</w:t>
      </w:r>
    </w:p>
    <w:p>
      <w:pPr>
        <w:pStyle w:val="Heading2"/>
        <w:keepNext/>
        <w:spacing w:after="120" w:before="240"/>
      </w:pPr>
      <w:r>
        <w:rPr>
          <w:rFonts w:ascii="Calibri" w:cs="Calibri" w:eastAsia="Calibri" w:hAnsi="Calibri"/>
          <w:b/>
          <w:bCs/>
          <w:color w:val="102B3F"/>
          <w:sz w:val="26"/>
          <w:szCs w:val="26"/>
        </w:rPr>
        <w:t xml:space="preserve">11. Term, review, and general terms</w:t>
      </w:r>
    </w:p>
    <w:p>
      <w:pPr>
        <w:keepLines/>
        <w:spacing w:after="120" w:line="264"/>
        <w:jc w:val="both"/>
      </w:pPr>
      <w:r>
        <w:rPr>
          <w:rFonts w:ascii="Calibri" w:cs="Calibri" w:eastAsia="Calibri" w:hAnsi="Calibri"/>
          <w:sz w:val="22"/>
          <w:szCs w:val="22"/>
        </w:rPr>
        <w:t xml:space="preserve">This Agreement runs from October 1, 2026 to September 30, 2027. Either party may end it earlier if the other seriously breaches it and does not fix the breach within a reasonable time after written notice. Sections on retention, breach, and responsibility continue after it ends.</w:t>
      </w:r>
    </w:p>
    <w:p>
      <w:pPr>
        <w:keepLines/>
        <w:spacing w:after="120" w:line="264"/>
        <w:jc w:val="both"/>
      </w:pPr>
      <w:r>
        <w:rPr>
          <w:rFonts w:ascii="Calibri" w:cs="Calibri" w:eastAsia="Calibri" w:hAnsi="Calibri"/>
          <w:sz w:val="22"/>
          <w:szCs w:val="22"/>
        </w:rPr>
        <w:t xml:space="preserve">The parties shall review this sharing at least once a year and before any renewal, considering whether the sharing is still needed for the purpose, whether the safeguards remain sufficient, and any personal data breach or security incident affecting the shared data. They shall record the result, the reason for continuing, renewing, or ending the sharing, and any change to these terms (NPC Circular No. 2020-03, Section 14). A change to this Agreement follows the same process as making it.</w:t>
      </w:r>
    </w:p>
    <w:p>
      <w:pPr>
        <w:keepLines/>
        <w:spacing w:after="120" w:line="264"/>
        <w:jc w:val="both"/>
      </w:pPr>
      <w:r>
        <w:rPr>
          <w:rFonts w:ascii="Calibri" w:cs="Calibri" w:eastAsia="Calibri" w:hAnsi="Calibri"/>
          <w:sz w:val="22"/>
          <w:szCs w:val="22"/>
        </w:rPr>
        <w:t xml:space="preserve">Philippine law governs this Agreement. The parties shall first try in good faith to settle any dispute by mediation before filing suit, without preventing urgent relief. Suits shall be filed exclusively in the proper courts of Makati City, to the exclusion of all other courts.</w:t>
      </w:r>
    </w:p>
    <w:p>
      <w:pPr>
        <w:keepLines/>
        <w:spacing w:after="120" w:line="264"/>
        <w:jc w:val="both"/>
      </w:pPr>
      <w:r>
        <w:rPr>
          <w:rFonts w:ascii="Calibri" w:cs="Calibri" w:eastAsia="Calibri" w:hAnsi="Calibri"/>
          <w:sz w:val="22"/>
          <w:szCs w:val="22"/>
        </w:rPr>
        <w:t xml:space="preserve">This Agreement is the whole agreement on the sharing. If any provision is held invalid, the rest remains in force.</w:t>
      </w:r>
    </w:p>
    <w:p>
      <w:pPr>
        <w:keepNext/>
        <w:spacing w:after="260" w:before="360"/>
      </w:pPr>
      <w:r>
        <w:rPr>
          <w:rFonts w:ascii="Calibri" w:cs="Calibri" w:eastAsia="Calibri" w:hAnsi="Calibri"/>
          <w:b/>
          <w:bCs/>
          <w:sz w:val="22"/>
          <w:szCs w:val="22"/>
        </w:rPr>
        <w:t xml:space="preserve">IN WITNESS WHEREOF, the parties have signed this Agreement on September 29, 2026. As NPC Circular No. 2020-03 provides, the Data Protection Officers of the parties sign as witnesses.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DISCLOSER</w:t>
            </w:r>
          </w:p>
          <w:p>
            <w:pPr>
              <w:spacing w:after="120"/>
            </w:pPr>
            <w:r>
              <w:rPr>
                <w:rFonts w:ascii="Calibri" w:cs="Calibri" w:eastAsia="Calibri" w:hAnsi="Calibri"/>
                <w:sz w:val="22"/>
                <w:szCs w:val="22"/>
              </w:rPr>
              <w:t xml:space="preserve">Bayanihan Digital Services, Inc.
By: Ramon L. Uy, Chief Executive Officer
Signature over printed name: ______________________________</w:t>
            </w:r>
          </w:p>
          <w:p>
            <w:pPr>
              <w:spacing w:after="120"/>
            </w:pPr>
            <w:r>
              <w:rPr>
                <w:rFonts w:ascii="Calibri" w:cs="Calibri" w:eastAsia="Calibri" w:hAnsi="Calibri"/>
                <w:sz w:val="22"/>
                <w:szCs w:val="22"/>
              </w:rPr>
              <w:t xml:space="preserve">Discloser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RECIPIENT</w:t>
            </w:r>
          </w:p>
          <w:p>
            <w:pPr>
              <w:spacing w:after="120"/>
            </w:pPr>
            <w:r>
              <w:rPr>
                <w:rFonts w:ascii="Calibri" w:cs="Calibri" w:eastAsia="Calibri" w:hAnsi="Calibri"/>
                <w:sz w:val="22"/>
                <w:szCs w:val="22"/>
              </w:rPr>
              <w:t xml:space="preserve">Mabuhay Insurance Brokers Corporation
By: Liza T. Ramos, President
Signature over printed name: ______________________________</w:t>
            </w:r>
          </w:p>
          <w:p>
            <w:pPr>
              <w:spacing w:after="120"/>
            </w:pPr>
            <w:r>
              <w:rPr>
                <w:rFonts w:ascii="Calibri" w:cs="Calibri" w:eastAsia="Calibri" w:hAnsi="Calibri"/>
                <w:sz w:val="22"/>
                <w:szCs w:val="22"/>
              </w:rPr>
              <w:t xml:space="preserve">Recipient</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Andrea M. Reyes
Signature over printed name: ______________________________</w:t>
            </w:r>
          </w:p>
          <w:p>
            <w:pPr>
              <w:spacing w:after="120"/>
            </w:pPr>
            <w:r>
              <w:rPr>
                <w:rFonts w:ascii="Calibri" w:cs="Calibri" w:eastAsia="Calibri" w:hAnsi="Calibri"/>
                <w:sz w:val="22"/>
                <w:szCs w:val="22"/>
              </w:rPr>
              <w:t xml:space="preserve">Witness — Data Protection Officer of the Discloser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Carlo P. Mendoza
Signature over printed name: ______________________________</w:t>
            </w:r>
          </w:p>
          <w:p>
            <w:pPr>
              <w:spacing w:after="120"/>
            </w:pPr>
            <w:r>
              <w:rPr>
                <w:rFonts w:ascii="Calibri" w:cs="Calibri" w:eastAsia="Calibri" w:hAnsi="Calibri"/>
                <w:sz w:val="22"/>
                <w:szCs w:val="22"/>
              </w:rPr>
              <w:t xml:space="preserve">Witness — Data Protection Officer of the Recipient</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This agreement does not by itself create a lawful basis for sharing. Each party needs its own lawful basis, and data subjects must be informed before their data is shared.</w:t>
      </w:r>
    </w:p>
    <w:p>
      <w:pPr>
        <w:pStyle w:val="ListParagraph"/>
        <w:keepNext/>
        <w:numPr>
          <w:ilvl w:val="0"/>
          <w:numId w:val="1"/>
        </w:numPr>
        <w:spacing w:after="120" w:line="264"/>
      </w:pPr>
      <w:r>
        <w:rPr>
          <w:rFonts w:ascii="Calibri" w:cs="Calibri" w:eastAsia="Calibri" w:hAnsi="Calibri"/>
          <w:sz w:val="22"/>
          <w:szCs w:val="22"/>
        </w:rPr>
        <w:t xml:space="preserve">Under NPC Circular No. 2020-03, a data sharing agreement is not mandatory, but it is the NPC's recommended proof of accountability. Sharing may rest on any lawful criterion in Sections 12 and 13 of the Data Privacy Act, and data subjects must receive the information in Section 5 of the Circular (recipients, purpose, data shared, and their rights) before their data is shared. If you rely on consent for commercial sharing, including direct marketing, make it specific to this recipient and purpose.</w:t>
      </w:r>
    </w:p>
    <w:p>
      <w:pPr>
        <w:pStyle w:val="ListParagraph"/>
        <w:keepNext/>
        <w:numPr>
          <w:ilvl w:val="0"/>
          <w:numId w:val="1"/>
        </w:numPr>
        <w:spacing w:after="120" w:line="264"/>
      </w:pPr>
      <w:r>
        <w:rPr>
          <w:rFonts w:ascii="Calibri" w:cs="Calibri" w:eastAsia="Calibri" w:hAnsi="Calibri"/>
          <w:sz w:val="22"/>
          <w:szCs w:val="22"/>
        </w:rPr>
        <w:t xml:space="preserve">Both parties' Data Protection Officers sign as witnesses. Keep a record of this sharing, including the parties' contacts, the legal bases, a copy of this agreement, and proof of consent where used (NPC Circular No. 2020-03, Section 10), and give a data subject who asks a copy of the agreement.</w:t>
      </w:r>
    </w:p>
    <w:p>
      <w:pPr>
        <w:pStyle w:val="ListParagraph"/>
        <w:keepNext/>
        <w:numPr>
          <w:ilvl w:val="0"/>
          <w:numId w:val="1"/>
        </w:numPr>
        <w:spacing w:after="120" w:line="264"/>
      </w:pPr>
      <w:r>
        <w:rPr>
          <w:rFonts w:ascii="Calibri" w:cs="Calibri" w:eastAsia="Calibri" w:hAnsi="Calibri"/>
          <w:sz w:val="22"/>
          <w:szCs w:val="22"/>
        </w:rPr>
        <w:t xml:space="preserve">Review the sharing at least once a year and before renewal, and record the result.</w:t>
      </w:r>
    </w:p>
    <w:p>
      <w:pPr>
        <w:pStyle w:val="ListParagraph"/>
        <w:keepNext/>
        <w:numPr>
          <w:ilvl w:val="0"/>
          <w:numId w:val="1"/>
        </w:numPr>
        <w:spacing w:after="120" w:line="264"/>
      </w:pPr>
      <w:r>
        <w:rPr>
          <w:rFonts w:ascii="Calibri" w:cs="Calibri" w:eastAsia="Calibri" w:hAnsi="Calibri"/>
          <w:sz w:val="22"/>
          <w:szCs w:val="22"/>
        </w:rPr>
        <w:t xml:space="preserve">Keep evidence of consent, such as the wording, date, and channel. If you rely on legitimate interests, document why the sharing is necessary and proportionate and how the data subjects' interests were weighed.</w:t>
      </w:r>
    </w:p>
    <w:p>
      <w:pPr>
        <w:pStyle w:val="ListParagraph"/>
        <w:keepNext/>
        <w:numPr>
          <w:ilvl w:val="0"/>
          <w:numId w:val="1"/>
        </w:numPr>
        <w:spacing w:after="120" w:line="264"/>
      </w:pPr>
      <w:r>
        <w:rPr>
          <w:rFonts w:ascii="Calibri" w:cs="Calibri" w:eastAsia="Calibri" w:hAnsi="Calibri"/>
          <w:sz w:val="22"/>
          <w:szCs w:val="22"/>
        </w:rPr>
        <w:t xml:space="preserve">Sensitive personal information, including age or date of birth, marital status, education, health, ethnic origin, beliefs, offences, and government-issued ID numbers, may be processed only on a ground in Section 13 of the Data Privacy Act; a contract or legitimate interests is not enough. Share the minimum and consider whether the purpose can be met without it.</w:t>
      </w:r>
    </w:p>
    <w:p>
      <w:pPr>
        <w:pStyle w:val="ListParagraph"/>
        <w:keepNext/>
        <w:numPr>
          <w:ilvl w:val="0"/>
          <w:numId w:val="1"/>
        </w:numPr>
        <w:spacing w:after="120" w:line="264"/>
      </w:pPr>
      <w:r>
        <w:rPr>
          <w:rFonts w:ascii="Calibri" w:cs="Calibri" w:eastAsia="Calibri" w:hAnsi="Calibri"/>
          <w:sz w:val="22"/>
          <w:szCs w:val="22"/>
        </w:rPr>
        <w:t xml:space="preserve">For large-scale or sensitive sharing, carry out a privacy impact assessment. Check whether each party must register its data processing system or Data Protection Officer with the National Privacy Commission.</w:t>
      </w:r>
    </w:p>
    <w:p>
      <w:pPr>
        <w:pStyle w:val="ListParagraph"/>
        <w:keepNext/>
        <w:numPr>
          <w:ilvl w:val="0"/>
          <w:numId w:val="1"/>
        </w:numPr>
        <w:spacing w:after="120" w:line="264"/>
      </w:pPr>
      <w:r>
        <w:rPr>
          <w:rFonts w:ascii="Calibri" w:cs="Calibri" w:eastAsia="Calibri" w:hAnsi="Calibri"/>
          <w:sz w:val="22"/>
          <w:szCs w:val="22"/>
        </w:rPr>
        <w:t xml:space="preserve">Update each party's privacy notice so it describes this sharing, and give data subjects a clear way to reach each Data Protection Officer.</w:t>
      </w:r>
    </w:p>
    <w:p>
      <w:pPr>
        <w:pStyle w:val="ListParagraph"/>
        <w:keepNext/>
        <w:numPr>
          <w:ilvl w:val="0"/>
          <w:numId w:val="1"/>
        </w:numPr>
        <w:spacing w:after="120" w:line="264"/>
      </w:pPr>
      <w:r>
        <w:rPr>
          <w:rFonts w:ascii="Calibri" w:cs="Calibri" w:eastAsia="Calibri" w:hAnsi="Calibri"/>
          <w:sz w:val="22"/>
          <w:szCs w:val="22"/>
        </w:rPr>
        <w:t xml:space="preserve">Test the breach contacts before you need them. Each party may have to notify the National Privacy Commission and affected individuals within 72 hours of knowledge of a reportable breach.</w:t>
      </w:r>
    </w:p>
    <w:p>
      <w:pPr>
        <w:pStyle w:val="ListParagraph"/>
        <w:keepNext/>
        <w:numPr>
          <w:ilvl w:val="0"/>
          <w:numId w:val="1"/>
        </w:numPr>
        <w:spacing w:after="120" w:line="264"/>
      </w:pPr>
      <w:r>
        <w:rPr>
          <w:rFonts w:ascii="Calibri" w:cs="Calibri" w:eastAsia="Calibri" w:hAnsi="Calibri"/>
          <w:sz w:val="22"/>
          <w:szCs w:val="22"/>
        </w:rPr>
        <w:t xml:space="preserve">If data leaves the Philippines, the party that transfers it stays accountable and should confirm the recipient provides comparable protection.</w:t>
      </w:r>
    </w:p>
    <w:p>
      <w:pPr>
        <w:pStyle w:val="ListParagraph"/>
        <w:keepNext/>
        <w:numPr>
          <w:ilvl w:val="0"/>
          <w:numId w:val="1"/>
        </w:numPr>
        <w:spacing w:after="120" w:line="264"/>
      </w:pPr>
      <w:r>
        <w:rPr>
          <w:rFonts w:ascii="Calibri" w:cs="Calibri" w:eastAsia="Calibri" w:hAnsi="Calibri"/>
          <w:sz w:val="22"/>
          <w:szCs w:val="22"/>
        </w:rPr>
        <w:t xml:space="preserve">Children's data needs extra care, including verified parental consent where consent is the basis.</w:t>
      </w:r>
    </w:p>
    <w:p>
      <w:pPr>
        <w:pStyle w:val="ListParagraph"/>
        <w:keepNext w:val="false"/>
        <w:numPr>
          <w:ilvl w:val="0"/>
          <w:numId w:val="1"/>
        </w:numPr>
        <w:spacing w:after="120" w:line="264"/>
      </w:pPr>
      <w:r>
        <w:rPr>
          <w:rFonts w:ascii="Calibri" w:cs="Calibri" w:eastAsia="Calibri" w:hAnsi="Calibri"/>
          <w:sz w:val="22"/>
          <w:szCs w:val="22"/>
        </w:rPr>
        <w:t xml:space="preserve">Get sector advice where a bank, insurer, health provider, or government body is involved, because specific rules may add to these requirements.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privacy-lawyer review pending | Last legal check 2026-10-01 | Next review due 2026-11-01</w:t>
      </w:r>
    </w:p>
    <w:p>
      <w:pPr>
        <w:keepNext/>
        <w:spacing w:after="60" w:before="100"/>
      </w:pPr>
      <w:r>
        <w:rPr>
          <w:rFonts w:ascii="Calibri" w:cs="Calibri" w:eastAsia="Calibri" w:hAnsi="Calibri"/>
          <w:b/>
          <w:bCs/>
          <w:sz w:val="18"/>
          <w:szCs w:val="18"/>
        </w:rPr>
        <w:t xml:space="preserve">Data Privacy Act of 2012 (Republic Act No. 10173) - Sec. 3(l) (sensitive personal information includes age, marital status, race, ethnic origin, religious, philosophical, or political affiliations, health, education, offences and proceedings, and government-issued identifiers), Sec. 11 (transparency, legitimate purpose, proportionality), Secs. 12–13 (lawful processing; sensitive personal information may be processed only on a Section 13 ground), Sec. 16 (data subject rights), Secs. 20–21 (security and accountability, including transfers) (checked 2026-10-01)</w:t>
      </w:r>
    </w:p>
    <w:p>
      <w:pPr>
        <w:spacing w:after="120"/>
      </w:pPr>
      <w:hyperlink w:history="1" r:id="rIdkvidkzfe5nqrxjv7hdo7t">
        <w:r>
          <w:rPr>
            <w:rFonts w:ascii="Calibri" w:cs="Calibri" w:eastAsia="Calibri" w:hAnsi="Calibri"/>
            <w:color w:val="315B75"/>
            <w:sz w:val="17"/>
            <w:szCs w:val="17"/>
            <w:u w:val="single"/>
          </w:rPr>
          <w:t xml:space="preserve">https://lawphil.net/statutes/repacts/ra2012/ra_10173_2012.html</w:t>
        </w:r>
      </w:hyperlink>
    </w:p>
    <w:p>
      <w:pPr>
        <w:keepNext/>
        <w:spacing w:after="60" w:before="100"/>
      </w:pPr>
      <w:r>
        <w:rPr>
          <w:rFonts w:ascii="Calibri" w:cs="Calibri" w:eastAsia="Calibri" w:hAnsi="Calibri"/>
          <w:b/>
          <w:bCs/>
          <w:sz w:val="18"/>
          <w:szCs w:val="18"/>
        </w:rPr>
        <w:t xml:space="preserve">Implementing Rules and Regulations of the Data Privacy Act of 2012, as amended - Sec. 38 (personal data breach notification within 72 hours). The NPC's amended IRR notes that the entire Sec. 20 on data sharing is superseded by NPC Circular No. 2020-03, so this agreement does not rely on it (checked 2026-10-01)</w:t>
      </w:r>
    </w:p>
    <w:p>
      <w:pPr>
        <w:spacing w:after="120"/>
      </w:pPr>
      <w:hyperlink w:history="1" r:id="rIdrxcpltdc_y3xkwv9rf-oo">
        <w:r>
          <w:rPr>
            <w:rFonts w:ascii="Calibri" w:cs="Calibri" w:eastAsia="Calibri" w:hAnsi="Calibri"/>
            <w:color w:val="315B75"/>
            <w:sz w:val="17"/>
            <w:szCs w:val="17"/>
            <w:u w:val="single"/>
          </w:rPr>
          <w:t xml:space="preserve">https://privacy.gov.ph/wp-content/uploads/2023/06/IRR_RA-10173-as-amended.pdf</w:t>
        </w:r>
      </w:hyperlink>
    </w:p>
    <w:p>
      <w:pPr>
        <w:keepNext/>
        <w:spacing w:after="60" w:before="100"/>
      </w:pPr>
      <w:r>
        <w:rPr>
          <w:rFonts w:ascii="Calibri" w:cs="Calibri" w:eastAsia="Calibri" w:hAnsi="Calibri"/>
          <w:b/>
          <w:bCs/>
          <w:sz w:val="18"/>
          <w:szCs w:val="18"/>
        </w:rPr>
        <w:t xml:space="preserve">NPC Circular No. 2020-03 (Data Sharing Agreements) - Secs. 1 and 4 (only personal information controllers are parties), Sec. 5 (information to data subjects before sharing), Sec. 6 (sharing may rest on any criterion in Sections 12 and 13 of the Act), Sec. 8 (a data sharing agreement is not mandatory but demonstrates accountability), Sec. 9 (contents, including the responsible party for requests, complaints, and NPC investigations, and the procedure for a data subject to get a copy), Sec. 12 (the parties' DPOs sign as witnesses), Sec. 14 (periodic review), Sec. 20 (supersedes NPC Circular No. 16-02 and inconsistent IRR provisions) (checked 2026-10-01)</w:t>
      </w:r>
    </w:p>
    <w:p>
      <w:pPr>
        <w:spacing w:after="120"/>
      </w:pPr>
      <w:hyperlink w:history="1" r:id="rId9ursrns7er92xwoitrnhq">
        <w:r>
          <w:rPr>
            <w:rFonts w:ascii="Calibri" w:cs="Calibri" w:eastAsia="Calibri" w:hAnsi="Calibri"/>
            <w:color w:val="315B75"/>
            <w:sz w:val="17"/>
            <w:szCs w:val="17"/>
            <w:u w:val="single"/>
          </w:rPr>
          <w:t xml:space="preserve">https://privacy.gov.ph/wp-content/uploads/2021/01/Circular-Data-Sharing-Agreement-amending-16-02-21-Dec-2020-clean-copy-FINAL-LYA-and-JDN-signed-minor-edit.pdf</w:t>
        </w:r>
      </w:hyperlink>
    </w:p>
    <w:p>
      <w:pPr>
        <w:keepNext/>
        <w:spacing w:after="60" w:before="100"/>
      </w:pPr>
      <w:r>
        <w:rPr>
          <w:rFonts w:ascii="Calibri" w:cs="Calibri" w:eastAsia="Calibri" w:hAnsi="Calibri"/>
          <w:b/>
          <w:bCs/>
          <w:sz w:val="18"/>
          <w:szCs w:val="18"/>
        </w:rPr>
        <w:t xml:space="preserve">Civil Code of the Philippines (Republic Act No. 386) - Arts. 1305–1318 and 1306 (contract formation and limits on terms); Art. 1170 and Art. 1171 (liability for negligence and fraud) (checked 2026-09-21)</w:t>
      </w:r>
    </w:p>
    <w:p>
      <w:pPr>
        <w:spacing w:after="120"/>
      </w:pPr>
      <w:hyperlink w:history="1" r:id="rIdxqgp7y5mgi6gmflcbtype">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Alternative Dispute Resolution Act of 2004 (Republic Act No. 9285) - Mediation as a route to settle disputes between the parties (checked 2026-09-21)</w:t>
      </w:r>
    </w:p>
    <w:p>
      <w:pPr>
        <w:spacing w:after="120"/>
      </w:pPr>
      <w:hyperlink w:history="1" r:id="rIdsj2ip9v0smhgnzc4ti8-_">
        <w:r>
          <w:rPr>
            <w:rFonts w:ascii="Calibri" w:cs="Calibri" w:eastAsia="Calibri" w:hAnsi="Calibri"/>
            <w:color w:val="315B75"/>
            <w:sz w:val="17"/>
            <w:szCs w:val="17"/>
            <w:u w:val="single"/>
          </w:rPr>
          <w:t xml:space="preserve">https://lawphil.net/statutes/repacts/ra2004/ra_9285_2004.html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idkzfe5nqrxjv7hdo7t" Type="http://schemas.openxmlformats.org/officeDocument/2006/relationships/hyperlink" Target="https://lawphil.net/statutes/repacts/ra2012/ra_10173_2012.html" TargetMode="External"/><Relationship Id="rIdrxcpltdc_y3xkwv9rf-oo" Type="http://schemas.openxmlformats.org/officeDocument/2006/relationships/hyperlink" Target="https://privacy.gov.ph/wp-content/uploads/2023/06/IRR_RA-10173-as-amended.pdf" TargetMode="External"/><Relationship Id="rId9ursrns7er92xwoitrnhq" Type="http://schemas.openxmlformats.org/officeDocument/2006/relationships/hyperlink" Target="https://privacy.gov.ph/wp-content/uploads/2021/01/Circular-Data-Sharing-Agreement-amending-16-02-21-Dec-2020-clean-copy-FINAL-LYA-and-JDN-signed-minor-edit.pdf" TargetMode="External"/><Relationship Id="rIdxqgp7y5mgi6gmflcbtype" Type="http://schemas.openxmlformats.org/officeDocument/2006/relationships/hyperlink" Target="https://lawphil.net/statutes/repacts/ra1949/ra_386_1949.html" TargetMode="External"/><Relationship Id="rIdsj2ip9v0smhgnzc4ti8-_" Type="http://schemas.openxmlformats.org/officeDocument/2006/relationships/hyperlink" Target="https://lawphil.net/statutes/repacts/ra2004/ra_9285_2004.html"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SHARING AGREEMENT</dc:title>
  <dc:creator>LAW.PH</dc:creator>
  <dc:description>Free sample of the Data Sharing Agreement from LAW.PH, with fictional details</dc:description>
  <cp:lastModifiedBy>Un-named</cp:lastModifiedBy>
  <cp:revision>1</cp:revision>
  <dcterms:created xsi:type="dcterms:W3CDTF">2026-10-02T05:29:56.988Z</dcterms:created>
  <dcterms:modified xsi:type="dcterms:W3CDTF">2026-10-02T05:29:56.988Z</dcterms:modified>
</cp:coreProperties>
</file>

<file path=docProps/custom.xml><?xml version="1.0" encoding="utf-8"?>
<Properties xmlns="http://schemas.openxmlformats.org/officeDocument/2006/custom-properties" xmlns:vt="http://schemas.openxmlformats.org/officeDocument/2006/docPropsVTypes"/>
</file>