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DEED OF DONATION INTER VIVOS</w:t>
      </w:r>
    </w:p>
    <w:p>
      <w:pPr>
        <w:spacing w:after="160"/>
        <w:jc w:val="center"/>
      </w:pPr>
      <w:r>
        <w:rPr>
          <w:rFonts w:ascii="Calibri" w:cs="Calibri" w:eastAsia="Calibri" w:hAnsi="Calibri"/>
          <w:color w:val="566674"/>
          <w:sz w:val="18"/>
          <w:szCs w:val="18"/>
        </w:rPr>
        <w:t xml:space="preserve">Republic of the Philippines — Gift between living persons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estate-lawyer review required before signing</w:t>
      </w:r>
    </w:p>
    <w:p>
      <w:pPr>
        <w:keepLines/>
        <w:spacing w:after="120" w:line="264"/>
        <w:jc w:val="both"/>
      </w:pPr>
      <w:r>
        <w:rPr>
          <w:rFonts w:ascii="Calibri" w:cs="Calibri" w:eastAsia="Calibri" w:hAnsi="Calibri"/>
          <w:sz w:val="22"/>
          <w:szCs w:val="22"/>
        </w:rPr>
        <w:t xml:space="preserve">KNOW ALL PERSONS BY THESE PRESENTS:</w:t>
      </w:r>
    </w:p>
    <w:p>
      <w:pPr>
        <w:keepLines/>
        <w:spacing w:after="120" w:line="264"/>
        <w:jc w:val="both"/>
      </w:pPr>
      <w:r>
        <w:rPr>
          <w:rFonts w:ascii="Calibri" w:cs="Calibri" w:eastAsia="Calibri" w:hAnsi="Calibri"/>
          <w:sz w:val="22"/>
          <w:szCs w:val="22"/>
        </w:rPr>
        <w:t xml:space="preserve">This Deed of Donation Inter Vivos (the "Deed") is made on September 18, 2026 by and between Rosario T. Villanueva, of legal age, widowed, with TIN 123-456-789-000, residing at 21 Sampaguita Street, Brgy. Poblacion, Lipa City, Batangas 4217 (the "Donor"), and Carmela V. Villanueva-Reyes, of legal age, with TIN 234-567-890-000, residing at 9 Molave Drive, Tandang Sora, Quezon City 1116 (the "Donee").</w:t>
      </w:r>
    </w:p>
    <w:p>
      <w:pPr>
        <w:pStyle w:val="Heading2"/>
        <w:keepNext/>
        <w:spacing w:after="120" w:before="240"/>
      </w:pPr>
      <w:r>
        <w:rPr>
          <w:rFonts w:ascii="Calibri" w:cs="Calibri" w:eastAsia="Calibri" w:hAnsi="Calibri"/>
          <w:b/>
          <w:bCs/>
          <w:color w:val="102B3F"/>
          <w:sz w:val="26"/>
          <w:szCs w:val="26"/>
        </w:rPr>
        <w:t xml:space="preserve">Recitals</w:t>
      </w:r>
    </w:p>
    <w:p>
      <w:pPr>
        <w:keepLines/>
        <w:spacing w:after="120" w:line="264"/>
        <w:jc w:val="both"/>
      </w:pPr>
      <w:r>
        <w:rPr>
          <w:rFonts w:ascii="Calibri" w:cs="Calibri" w:eastAsia="Calibri" w:hAnsi="Calibri"/>
          <w:sz w:val="22"/>
          <w:szCs w:val="22"/>
        </w:rPr>
        <w:t xml:space="preserve">The Donor is the owner of the property described below. The Property formed part of the property of the Donor's former marriage. It was liquidated and given to the Donor in the following settlement: Deed of Extrajudicial Settlement of the Estate of the late Ernesto M. Villanueva with Adjudication dated 14 March 2024, notarized in Lipa City as Doc. No. 112, Page No. 23, Book No. IV, Series of 2024, published once a week for three consecutive weeks, and annotated on TCT No. T-123456 as Entry No. 45678 on 2 May 2024, by which the community property was liquidated and the whole lot was adjudicated to Rosario T. Villanueva with the written conformity of all the other heirs. Out of pure liberality and the Donor's regard for the Donee, the Donor's Daughter, the Donor wishes to donate that property to the Donee.</w:t>
      </w:r>
    </w:p>
    <w:p>
      <w:pPr>
        <w:pStyle w:val="Heading2"/>
        <w:keepNext/>
        <w:spacing w:after="120" w:before="240"/>
      </w:pPr>
      <w:r>
        <w:rPr>
          <w:rFonts w:ascii="Calibri" w:cs="Calibri" w:eastAsia="Calibri" w:hAnsi="Calibri"/>
          <w:b/>
          <w:bCs/>
          <w:color w:val="102B3F"/>
          <w:sz w:val="26"/>
          <w:szCs w:val="26"/>
        </w:rPr>
        <w:t xml:space="preserve">1. The donation</w:t>
      </w:r>
    </w:p>
    <w:p>
      <w:pPr>
        <w:keepLines/>
        <w:spacing w:after="120" w:line="264"/>
        <w:jc w:val="both"/>
      </w:pPr>
      <w:r>
        <w:rPr>
          <w:rFonts w:ascii="Calibri" w:cs="Calibri" w:eastAsia="Calibri" w:hAnsi="Calibri"/>
          <w:sz w:val="22"/>
          <w:szCs w:val="22"/>
        </w:rPr>
        <w:t xml:space="preserve">The Donor donates, transfers, and conveys to the Donee, as a gift between living persons, the following property (the "Property"): A residential lot with a one-storey house, together with all improvements on it. It is covered by Transfer Certificate of Title No. T-123456, registered with the Registry of Deeds of Lipa City, Batangas, located at 21 Sampaguita Street, Barangay Poblacion, Lipa City, Batangas 4217. Area: 240 square meters. Lot 5, Block 2, Psd-04-012345. Tax declarations: Land TD No. 016-00123; Improvement TD No. 016-00124. Liens and encumbrances: None.</w:t>
      </w:r>
    </w:p>
    <w:p>
      <w:pPr>
        <w:keepLines/>
        <w:spacing w:after="120" w:line="264"/>
        <w:jc w:val="both"/>
      </w:pPr>
      <w:r>
        <w:rPr>
          <w:rFonts w:ascii="Calibri" w:cs="Calibri" w:eastAsia="Calibri" w:hAnsi="Calibri"/>
          <w:sz w:val="22"/>
          <w:szCs w:val="22"/>
        </w:rPr>
        <w:t xml:space="preserve">Technical description, as it appears on the title: A parcel of land (Lot 5, Block 2 of the subdivision plan Psd-04-012345), situated in the Barangay of Poblacion, City of Lipa. Bounded on the NE., along line 1-2 by Lot 4; on the SE., along line 2-3 by Road; on the SW., along line 3-4 by Lot 6; and on the NW., along line 4-1 by Lot 12; containing an area of TWO HUNDRED FORTY (240) SQUARE METERS, more or less.</w:t>
      </w:r>
    </w:p>
    <w:p>
      <w:pPr>
        <w:keepLines/>
        <w:spacing w:after="120" w:line="264"/>
        <w:jc w:val="both"/>
      </w:pPr>
      <w:r>
        <w:rPr>
          <w:rFonts w:ascii="Calibri" w:cs="Calibri" w:eastAsia="Calibri" w:hAnsi="Calibri"/>
          <w:sz w:val="22"/>
          <w:szCs w:val="22"/>
        </w:rPr>
        <w:t xml:space="preserve">The parties declare the fair market value of the Property to be Three Million Five Hundred Thousand Pesos (PHP 3,500,000.00).</w:t>
      </w:r>
    </w:p>
    <w:p>
      <w:pPr>
        <w:pStyle w:val="Heading2"/>
        <w:keepNext/>
        <w:spacing w:after="120" w:before="240"/>
      </w:pPr>
      <w:r>
        <w:rPr>
          <w:rFonts w:ascii="Calibri" w:cs="Calibri" w:eastAsia="Calibri" w:hAnsi="Calibri"/>
          <w:b/>
          <w:bCs/>
          <w:color w:val="102B3F"/>
          <w:sz w:val="26"/>
          <w:szCs w:val="26"/>
        </w:rPr>
        <w:t xml:space="preserve">2. Nature of the gift and the Donor's protections</w:t>
      </w:r>
    </w:p>
    <w:p>
      <w:pPr>
        <w:keepLines/>
        <w:spacing w:after="120" w:line="264"/>
        <w:jc w:val="both"/>
      </w:pPr>
      <w:r>
        <w:rPr>
          <w:rFonts w:ascii="Calibri" w:cs="Calibri" w:eastAsia="Calibri" w:hAnsi="Calibri"/>
          <w:sz w:val="22"/>
          <w:szCs w:val="22"/>
        </w:rPr>
        <w:t xml:space="preserve">This is a donation inter vivos. It is not a gift that takes effect only on the Donor's death, and it is irrevocable except for the causes the Civil Code and this Deed allow.</w:t>
      </w:r>
    </w:p>
    <w:p>
      <w:pPr>
        <w:keepLines/>
        <w:spacing w:after="120" w:line="264"/>
        <w:jc w:val="both"/>
      </w:pPr>
      <w:r>
        <w:rPr>
          <w:rFonts w:ascii="Calibri" w:cs="Calibri" w:eastAsia="Calibri" w:hAnsi="Calibri"/>
          <w:sz w:val="22"/>
          <w:szCs w:val="22"/>
        </w:rPr>
        <w:t xml:space="preserve">The Donor states that the Donor keeps enough property or income to support the Donor and the relatives the Donor must support (Article 750); that the Property is presently owned by the Donor and no future property is donated (Article 751); that it does not exceed what the Donor could leave by will, so it does not impair the legitime of compulsory heirs (Article 752); and that the Donor has kept enough property to pay all debts the Donor owed before this donation, so it is not made in fraud of creditors (Article 759).</w:t>
      </w:r>
    </w:p>
    <w:p>
      <w:pPr>
        <w:keepLines/>
        <w:spacing w:after="120" w:line="264"/>
        <w:jc w:val="both"/>
      </w:pPr>
      <w:r>
        <w:rPr>
          <w:rFonts w:ascii="Calibri" w:cs="Calibri" w:eastAsia="Calibri" w:hAnsi="Calibri"/>
          <w:sz w:val="22"/>
          <w:szCs w:val="22"/>
        </w:rPr>
        <w:t xml:space="preserve">The Donor states that the Donor is the lawful owner of the Property with the right to donate it, and has disclosed above every lien and encumbrance known to the Donor.</w:t>
      </w:r>
    </w:p>
    <w:p>
      <w:pPr>
        <w:pStyle w:val="Heading2"/>
        <w:keepNext/>
        <w:spacing w:after="120" w:before="240"/>
      </w:pPr>
      <w:r>
        <w:rPr>
          <w:rFonts w:ascii="Calibri" w:cs="Calibri" w:eastAsia="Calibri" w:hAnsi="Calibri"/>
          <w:b/>
          <w:bCs/>
          <w:color w:val="102B3F"/>
          <w:sz w:val="26"/>
          <w:szCs w:val="26"/>
        </w:rPr>
        <w:t xml:space="preserve">3. Conditions and revocation</w:t>
      </w:r>
    </w:p>
    <w:p>
      <w:pPr>
        <w:keepLines/>
        <w:spacing w:after="120" w:line="264"/>
        <w:jc w:val="both"/>
      </w:pPr>
      <w:r>
        <w:rPr>
          <w:rFonts w:ascii="Calibri" w:cs="Calibri" w:eastAsia="Calibri" w:hAnsi="Calibri"/>
          <w:sz w:val="22"/>
          <w:szCs w:val="22"/>
        </w:rPr>
        <w:t xml:space="preserve">The donation is pure and unconditional.</w:t>
      </w:r>
    </w:p>
    <w:p>
      <w:pPr>
        <w:keepLines/>
        <w:spacing w:after="120" w:line="264"/>
        <w:jc w:val="both"/>
      </w:pPr>
      <w:r>
        <w:rPr>
          <w:rFonts w:ascii="Calibri" w:cs="Calibri" w:eastAsia="Calibri" w:hAnsi="Calibri"/>
          <w:sz w:val="22"/>
          <w:szCs w:val="22"/>
        </w:rPr>
        <w:t xml:space="preserve">The donation may be revoked or reduced only for the causes and within the periods the Civil Code provides, including Articles 752, 760, 764, and 765.</w:t>
      </w:r>
    </w:p>
    <w:p>
      <w:pPr>
        <w:pStyle w:val="Heading2"/>
        <w:keepNext/>
        <w:spacing w:after="120" w:before="240"/>
      </w:pPr>
      <w:r>
        <w:rPr>
          <w:rFonts w:ascii="Calibri" w:cs="Calibri" w:eastAsia="Calibri" w:hAnsi="Calibri"/>
          <w:b/>
          <w:bCs/>
          <w:color w:val="102B3F"/>
          <w:sz w:val="26"/>
          <w:szCs w:val="26"/>
        </w:rPr>
        <w:t xml:space="preserve">4. Acceptance</w:t>
      </w:r>
    </w:p>
    <w:p>
      <w:pPr>
        <w:keepLines/>
        <w:spacing w:after="120" w:line="264"/>
        <w:jc w:val="both"/>
      </w:pPr>
      <w:r>
        <w:rPr>
          <w:rFonts w:ascii="Calibri" w:cs="Calibri" w:eastAsia="Calibri" w:hAnsi="Calibri"/>
          <w:sz w:val="22"/>
          <w:szCs w:val="22"/>
        </w:rPr>
        <w:t xml:space="preserve">Carmela V. Villanueva-Reyes accepts this donation and thanks the Donor for it. The acceptance is made in this same Deed.</w:t>
      </w:r>
    </w:p>
    <w:p>
      <w:pPr>
        <w:pStyle w:val="Heading2"/>
        <w:keepNext/>
        <w:spacing w:after="120" w:before="240"/>
      </w:pPr>
      <w:r>
        <w:rPr>
          <w:rFonts w:ascii="Calibri" w:cs="Calibri" w:eastAsia="Calibri" w:hAnsi="Calibri"/>
          <w:b/>
          <w:bCs/>
          <w:color w:val="102B3F"/>
          <w:sz w:val="26"/>
          <w:szCs w:val="26"/>
        </w:rPr>
        <w:t xml:space="preserve">5. Delivery and ownership</w:t>
      </w:r>
    </w:p>
    <w:p>
      <w:pPr>
        <w:keepLines/>
        <w:spacing w:after="120" w:line="264"/>
        <w:jc w:val="both"/>
      </w:pPr>
      <w:r>
        <w:rPr>
          <w:rFonts w:ascii="Calibri" w:cs="Calibri" w:eastAsia="Calibri" w:hAnsi="Calibri"/>
          <w:sz w:val="22"/>
          <w:szCs w:val="22"/>
        </w:rPr>
        <w:t xml:space="preserve">The Donor delivers the Property to the Donee at the signing of this Deed.</w:t>
      </w:r>
    </w:p>
    <w:p>
      <w:pPr>
        <w:keepLines/>
        <w:spacing w:after="120" w:line="264"/>
        <w:jc w:val="both"/>
      </w:pPr>
      <w:r>
        <w:rPr>
          <w:rFonts w:ascii="Calibri" w:cs="Calibri" w:eastAsia="Calibri" w:hAnsi="Calibri"/>
          <w:sz w:val="22"/>
          <w:szCs w:val="22"/>
        </w:rPr>
        <w:t xml:space="preserve">Ownership passes to the Donee upon the Donor's knowledge of the acceptance (Civil Code, Articles 712 and 734). Registration with the Registry of Deeds is required to bind third persons (Presidential Decree No. 1529, Section 51); the Donor shall sign every document the BIR, the Registry of Deeds, and the assessor require for it.</w:t>
      </w:r>
    </w:p>
    <w:p>
      <w:pPr>
        <w:pStyle w:val="Heading2"/>
        <w:keepNext/>
        <w:spacing w:after="120" w:before="240"/>
      </w:pPr>
      <w:r>
        <w:rPr>
          <w:rFonts w:ascii="Calibri" w:cs="Calibri" w:eastAsia="Calibri" w:hAnsi="Calibri"/>
          <w:b/>
          <w:bCs/>
          <w:color w:val="102B3F"/>
          <w:sz w:val="26"/>
          <w:szCs w:val="26"/>
        </w:rPr>
        <w:t xml:space="preserve">6. Taxes and expenses</w:t>
      </w:r>
    </w:p>
    <w:p>
      <w:pPr>
        <w:keepLines/>
        <w:spacing w:after="120" w:line="264"/>
        <w:jc w:val="both"/>
      </w:pPr>
      <w:r>
        <w:rPr>
          <w:rFonts w:ascii="Calibri" w:cs="Calibri" w:eastAsia="Calibri" w:hAnsi="Calibri"/>
          <w:sz w:val="22"/>
          <w:szCs w:val="22"/>
        </w:rPr>
        <w:t xml:space="preserve">The Donor remains the taxpayer for the donor's tax and shall file the return and pay within the time the law sets. The local transfer tax is likewise the Donor's duty under Section 135 of the Local Government Code. The parties agree on who bears the cost between them as follows; this allocation does not change who is liable to the government.</w:t>
      </w:r>
    </w:p>
    <w:p>
      <w:pPr>
        <w:keepLines/>
        <w:spacing w:after="120" w:line="264"/>
        <w:jc w:val="both"/>
      </w:pPr>
      <w:r>
        <w:rPr>
          <w:rFonts w:ascii="Calibri" w:cs="Calibri" w:eastAsia="Calibri" w:hAnsi="Calibri"/>
          <w:sz w:val="22"/>
          <w:szCs w:val="22"/>
        </w:rPr>
        <w:t xml:space="preserve">The Donor shall bear the donor's tax. The Donee shall bear the notarial fees, documentary and transfer taxes, and registration fees.</w:t>
      </w:r>
    </w:p>
    <w:p>
      <w:pPr>
        <w:pStyle w:val="Heading2"/>
        <w:keepNext/>
        <w:spacing w:after="120" w:before="240"/>
      </w:pPr>
      <w:r>
        <w:rPr>
          <w:rFonts w:ascii="Calibri" w:cs="Calibri" w:eastAsia="Calibri" w:hAnsi="Calibri"/>
          <w:b/>
          <w:bCs/>
          <w:color w:val="102B3F"/>
          <w:sz w:val="26"/>
          <w:szCs w:val="26"/>
        </w:rPr>
        <w:t xml:space="preserve">7. General terms</w:t>
      </w:r>
    </w:p>
    <w:p>
      <w:pPr>
        <w:keepLines/>
        <w:spacing w:after="120" w:line="264"/>
        <w:jc w:val="both"/>
      </w:pPr>
      <w:r>
        <w:rPr>
          <w:rFonts w:ascii="Calibri" w:cs="Calibri" w:eastAsia="Calibri" w:hAnsi="Calibri"/>
          <w:sz w:val="22"/>
          <w:szCs w:val="22"/>
        </w:rPr>
        <w:t xml:space="preserve">Philippine law governs this Deed. If any provision is held invalid, the rest remains in force. The Donor and the Donee shall sign any further document needed to carry out this Deed.</w:t>
      </w:r>
    </w:p>
    <w:p>
      <w:pPr>
        <w:keepNext/>
        <w:spacing w:after="260" w:before="360"/>
      </w:pPr>
      <w:r>
        <w:rPr>
          <w:rFonts w:ascii="Calibri" w:cs="Calibri" w:eastAsia="Calibri" w:hAnsi="Calibri"/>
          <w:b/>
          <w:bCs/>
          <w:sz w:val="22"/>
          <w:szCs w:val="22"/>
        </w:rPr>
        <w:t xml:space="preserve">IN WITNESS WHEREOF, the parties have signed this Deed on September 18, 2026 at Lipa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DONOR</w:t>
            </w:r>
          </w:p>
          <w:p>
            <w:pPr>
              <w:spacing w:after="120"/>
            </w:pPr>
            <w:r>
              <w:rPr>
                <w:rFonts w:ascii="Calibri" w:cs="Calibri" w:eastAsia="Calibri" w:hAnsi="Calibri"/>
                <w:sz w:val="22"/>
                <w:szCs w:val="22"/>
              </w:rPr>
              <w:t xml:space="preserve">Rosario T. Villanueva
Signature over printed name: ______________________________</w:t>
            </w:r>
          </w:p>
          <w:p>
            <w:pPr>
              <w:spacing w:after="120"/>
            </w:pPr>
            <w:r>
              <w:rPr>
                <w:rFonts w:ascii="Calibri" w:cs="Calibri" w:eastAsia="Calibri" w:hAnsi="Calibri"/>
                <w:sz w:val="22"/>
                <w:szCs w:val="22"/>
              </w:rPr>
              <w:t xml:space="preserve">Donor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DONEE — ACCEPTANCE</w:t>
            </w:r>
          </w:p>
          <w:p>
            <w:pPr>
              <w:spacing w:after="120"/>
            </w:pPr>
            <w:r>
              <w:rPr>
                <w:rFonts w:ascii="Calibri" w:cs="Calibri" w:eastAsia="Calibri" w:hAnsi="Calibri"/>
                <w:sz w:val="22"/>
                <w:szCs w:val="22"/>
              </w:rPr>
              <w:t xml:space="preserve">Carmela V. Villanueva-Reyes
Signature over printed name: ______________________________</w:t>
            </w:r>
          </w:p>
          <w:p>
            <w:pPr>
              <w:spacing w:after="120"/>
            </w:pPr>
            <w:r>
              <w:rPr>
                <w:rFonts w:ascii="Calibri" w:cs="Calibri" w:eastAsia="Calibri" w:hAnsi="Calibri"/>
                <w:sz w:val="22"/>
                <w:szCs w:val="22"/>
              </w:rPr>
              <w:t xml:space="preserve">Donee</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Alfredo N. Mercado
Signature over printed name: 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Josefina C. Aquino
Signature over printed name: 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w:t>
      </w:r>
    </w:p>
    <w:p>
      <w:pPr>
        <w:keepLines/>
        <w:spacing w:after="120" w:line="264"/>
        <w:jc w:val="both"/>
      </w:pPr>
      <w:r>
        <w:rPr>
          <w:rFonts w:ascii="Calibri" w:cs="Calibri" w:eastAsia="Calibri" w:hAnsi="Calibri"/>
          <w:sz w:val="22"/>
          <w:szCs w:val="22"/>
        </w:rPr>
        <w:t xml:space="preserve">REPUBLIC OF THE PHILIPPINES )
LIPA CITY ) S.S.</w:t>
      </w:r>
    </w:p>
    <w:p>
      <w:pPr>
        <w:keepLines/>
        <w:spacing w:after="120" w:line="264"/>
        <w:jc w:val="both"/>
      </w:pPr>
      <w:r>
        <w:rPr>
          <w:rFonts w:ascii="Calibri" w:cs="Calibri" w:eastAsia="Calibri" w:hAnsi="Calibri"/>
          <w:sz w:val="22"/>
          <w:szCs w:val="22"/>
        </w:rPr>
        <w:t xml:space="preserve">BEFORE ME, a Notary Public for and in Lipa City, Philippines, on ____________________, personally appeared:</w:t>
      </w:r>
    </w:p>
    <w:p>
      <w:pPr>
        <w:keepLines/>
        <w:spacing w:after="120" w:line="264"/>
        <w:jc w:val="both"/>
      </w:pPr>
      <w:r>
        <w:rPr>
          <w:rFonts w:ascii="Calibri" w:cs="Calibri" w:eastAsia="Calibri" w:hAnsi="Calibri"/>
          <w:sz w:val="22"/>
          <w:szCs w:val="22"/>
        </w:rPr>
        <w:t xml:space="preserve">Rosario T. Villanueva, Donor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Carmela V. Villanueva-Reyes, Donee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known to me and to me known to be the same persons who executed the foregoing Deed of Donation Inter Vivos, and who acknowledged to me that it is their free and voluntary act and deed.</w:t>
      </w:r>
    </w:p>
    <w:p>
      <w:pPr>
        <w:keepLines/>
        <w:spacing w:after="120" w:line="264"/>
        <w:jc w:val="both"/>
      </w:pPr>
      <w:r>
        <w:rPr>
          <w:rFonts w:ascii="Calibri" w:cs="Calibri" w:eastAsia="Calibri" w:hAnsi="Calibri"/>
          <w:sz w:val="22"/>
          <w:szCs w:val="22"/>
        </w:rPr>
        <w:t xml:space="preserve">This instrument, consisting of ____ (__) pages, including the page on which this acknowledgment is written, refers to a Deed of Donation Inter Vivos relating to one (1) parcel of real property, and has been signed by the parties and their instrumental witnesses on the left margin of each and every page thereof and sealed with my notarial seal.</w:t>
      </w:r>
    </w:p>
    <w:p>
      <w:pPr>
        <w:keepLines/>
        <w:spacing w:after="120" w:line="264"/>
        <w:jc w:val="both"/>
      </w:pPr>
      <w:r>
        <w:rPr>
          <w:rFonts w:ascii="Calibri" w:cs="Calibri" w:eastAsia="Calibri" w:hAnsi="Calibri"/>
          <w:sz w:val="22"/>
          <w:szCs w:val="22"/>
        </w:rPr>
        <w:t xml:space="preserve">WITNESS MY HAND AND NOTARIAL SEAL on the date and at the place first written above.</w:t>
      </w:r>
    </w:p>
    <w:p>
      <w:pPr>
        <w:keepLines/>
        <w:spacing w:after="120" w:line="264"/>
        <w:jc w:val="both"/>
      </w:pPr>
      <w:r>
        <w:rPr>
          <w:rFonts w:ascii="Calibri" w:cs="Calibri" w:eastAsia="Calibri" w:hAnsi="Calibri"/>
          <w:sz w:val="22"/>
          <w:szCs w:val="22"/>
        </w:rPr>
        <w:t xml:space="preserve">NOTARY PUBLIC
Commission No.: __________________ Until: __________________
Roll of Attorneys No.: __________________
PTR No. / IBP No.: __________________
Office address: __________________</w:t>
      </w:r>
    </w:p>
    <w:p>
      <w:pPr>
        <w:keepLines/>
        <w:spacing w:after="120" w:line="264"/>
        <w:jc w:val="both"/>
      </w:pPr>
      <w:r>
        <w:rPr>
          <w:rFonts w:ascii="Calibri" w:cs="Calibri" w:eastAsia="Calibri" w:hAnsi="Calibri"/>
          <w:sz w:val="22"/>
          <w:szCs w:val="22"/>
        </w:rPr>
        <w:t xml:space="preserve">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For land, the deed must be a public instrument (notarized) and must state the property and the value of any charge the Donee must satisfy. The acceptance must be in the same deed or in a separate public instrument made during the Donor's lifetime, of which the Donor is notified in authentic form (Article 749). A private deed of donation of land is void.</w:t>
      </w:r>
    </w:p>
    <w:p>
      <w:pPr>
        <w:pStyle w:val="ListParagraph"/>
        <w:keepNext/>
        <w:numPr>
          <w:ilvl w:val="0"/>
          <w:numId w:val="1"/>
        </w:numPr>
        <w:spacing w:after="120" w:line="264"/>
      </w:pPr>
      <w:r>
        <w:rPr>
          <w:rFonts w:ascii="Calibri" w:cs="Calibri" w:eastAsia="Calibri" w:hAnsi="Calibri"/>
          <w:sz w:val="22"/>
          <w:szCs w:val="22"/>
        </w:rPr>
        <w:t xml:space="preserve">For land, the Donor, any consenting spouse, the Donee or the Donee's representative, and the two instrumental witnesses must sign the left margin of every page, and sign in full on the signature page. The notary states the number of pages in the acknowledgment (Presidential Decree No. 1529, Section 112).</w:t>
      </w:r>
    </w:p>
    <w:p>
      <w:pPr>
        <w:pStyle w:val="ListParagraph"/>
        <w:keepNext/>
        <w:numPr>
          <w:ilvl w:val="0"/>
          <w:numId w:val="1"/>
        </w:numPr>
        <w:spacing w:after="120" w:line="264"/>
      </w:pPr>
      <w:r>
        <w:rPr>
          <w:rFonts w:ascii="Calibri" w:cs="Calibri" w:eastAsia="Calibri" w:hAnsi="Calibri"/>
          <w:sz w:val="22"/>
          <w:szCs w:val="22"/>
        </w:rPr>
        <w:t xml:space="preserve">For movable property, a donation above PHP 5,000 must be in writing, with the acceptance in writing too (Article 748). A vehicle also needs the LTO's transfer documents.</w:t>
      </w:r>
    </w:p>
    <w:p>
      <w:pPr>
        <w:pStyle w:val="ListParagraph"/>
        <w:keepNext/>
        <w:numPr>
          <w:ilvl w:val="0"/>
          <w:numId w:val="1"/>
        </w:numPr>
        <w:spacing w:after="120" w:line="264"/>
      </w:pPr>
      <w:r>
        <w:rPr>
          <w:rFonts w:ascii="Calibri" w:cs="Calibri" w:eastAsia="Calibri" w:hAnsi="Calibri"/>
          <w:sz w:val="22"/>
          <w:szCs w:val="22"/>
        </w:rPr>
        <w:t xml:space="preserve">Donor's tax is 6% of the total gifts made in a calendar year in excess of PHP 250,000 (NIRC Section 99, as amended by the TRAIN law). A donation of real property also pays documentary stamp tax of PHP 15 for each PHP 1,000 of the property's fair market value as determined under NIRC Section 6(E) (NIRC Section 196), and the province or city may charge a transfer tax that is the Donor's duty (Local Government Code Section 135). If the donation is perfected on the signing date (September 18, 2026), the donor's tax return (BIR Form 1800) and payment are due by October 18, 2026 (30 days after the gift), the documentary stamp tax return (BIR Form 2000-OT) by October 5, 2026 (five days after the close of the month), and the local transfer tax by November 17, 2026 (60 days from execution). If acceptance comes later, count from the date the donation is perfected. Confirm the dates with the BIR and the provincial or city treasurer.</w:t>
      </w:r>
    </w:p>
    <w:p>
      <w:pPr>
        <w:pStyle w:val="ListParagraph"/>
        <w:keepNext/>
        <w:numPr>
          <w:ilvl w:val="0"/>
          <w:numId w:val="1"/>
        </w:numPr>
        <w:spacing w:after="120" w:line="264"/>
      </w:pPr>
      <w:r>
        <w:rPr>
          <w:rFonts w:ascii="Calibri" w:cs="Calibri" w:eastAsia="Calibri" w:hAnsi="Calibri"/>
          <w:sz w:val="22"/>
          <w:szCs w:val="22"/>
        </w:rPr>
        <w:t xml:space="preserve">For land, bring both parties' TINs, the notarized deed, the certified true copy of the title, and the tax declarations to the BIR for the electronic certificate authorizing registration (eCAR). Then pay the transfer tax, get the real property tax clearance, register the deed with the Registry of Deeds, and update the tax declaration with the assessor.</w:t>
      </w:r>
    </w:p>
    <w:p>
      <w:pPr>
        <w:pStyle w:val="ListParagraph"/>
        <w:keepNext/>
        <w:numPr>
          <w:ilvl w:val="0"/>
          <w:numId w:val="1"/>
        </w:numPr>
        <w:spacing w:after="120" w:line="264"/>
      </w:pPr>
      <w:r>
        <w:rPr>
          <w:rFonts w:ascii="Calibri" w:cs="Calibri" w:eastAsia="Calibri" w:hAnsi="Calibri"/>
          <w:sz w:val="22"/>
          <w:szCs w:val="22"/>
        </w:rPr>
        <w:t xml:space="preserve">A married Donor needs the spouse's written consent to donate community or conjugal property, except for moderate donations for charity or family occasions (Articles 98 and 125). Under absolute community, even property owned before the marriage is community property unless Article 92 excludes it. A donation between spouses during the marriage, or between partners living together without a valid marriage, is void (Family Code, Article 87).</w:t>
      </w:r>
    </w:p>
    <w:p>
      <w:pPr>
        <w:pStyle w:val="ListParagraph"/>
        <w:keepNext/>
        <w:numPr>
          <w:ilvl w:val="0"/>
          <w:numId w:val="1"/>
        </w:numPr>
        <w:spacing w:after="120" w:line="264"/>
      </w:pPr>
      <w:r>
        <w:rPr>
          <w:rFonts w:ascii="Calibri" w:cs="Calibri" w:eastAsia="Calibri" w:hAnsi="Calibri"/>
          <w:sz w:val="22"/>
          <w:szCs w:val="22"/>
        </w:rPr>
        <w:t xml:space="preserve">A widowed, legally separated, or annulled Donor may donate property of the former marriage only after it has been liquidated or settled and given to the Donor (Family Code, Articles 103 and 130). Keep the registered settlement with the deed.</w:t>
      </w:r>
    </w:p>
    <w:p>
      <w:pPr>
        <w:pStyle w:val="ListParagraph"/>
        <w:keepNext/>
        <w:numPr>
          <w:ilvl w:val="0"/>
          <w:numId w:val="1"/>
        </w:numPr>
        <w:spacing w:after="120" w:line="264"/>
      </w:pPr>
      <w:r>
        <w:rPr>
          <w:rFonts w:ascii="Calibri" w:cs="Calibri" w:eastAsia="Calibri" w:hAnsi="Calibri"/>
          <w:sz w:val="22"/>
          <w:szCs w:val="22"/>
        </w:rPr>
        <w:t xml:space="preserve">A gift cannot exceed what the Donor could leave by will. The excess is inofficious and can be reduced after the Donor's death (Article 752). Talk to a lawyer if the Donor has children, a spouse, or parents, and the gift is large.</w:t>
      </w:r>
    </w:p>
    <w:p>
      <w:pPr>
        <w:pStyle w:val="ListParagraph"/>
        <w:keepNext/>
        <w:numPr>
          <w:ilvl w:val="0"/>
          <w:numId w:val="1"/>
        </w:numPr>
        <w:spacing w:after="120" w:line="264"/>
      </w:pPr>
      <w:r>
        <w:rPr>
          <w:rFonts w:ascii="Calibri" w:cs="Calibri" w:eastAsia="Calibri" w:hAnsi="Calibri"/>
          <w:sz w:val="22"/>
          <w:szCs w:val="22"/>
        </w:rPr>
        <w:t xml:space="preserve">The Donor must keep enough for support (Article 750) and enough property to pay existing debts. A gift made without reserving enough to pay prior debts is presumed to be in fraud of creditors and can be rescinded (Articles 759 and 1387).</w:t>
      </w:r>
    </w:p>
    <w:p>
      <w:pPr>
        <w:pStyle w:val="ListParagraph"/>
        <w:keepNext/>
        <w:numPr>
          <w:ilvl w:val="0"/>
          <w:numId w:val="1"/>
        </w:numPr>
        <w:spacing w:after="120" w:line="264"/>
      </w:pPr>
      <w:r>
        <w:rPr>
          <w:rFonts w:ascii="Calibri" w:cs="Calibri" w:eastAsia="Calibri" w:hAnsi="Calibri"/>
          <w:sz w:val="22"/>
          <w:szCs w:val="22"/>
        </w:rPr>
        <w:t xml:space="preserve">Only Filipino citizens and qualified corporations may own private land. Check the title for annotations, and get the DAR clearance if the land came from agrarian reform (R.A. 6657, Sec. 27).</w:t>
      </w:r>
    </w:p>
    <w:p>
      <w:pPr>
        <w:pStyle w:val="ListParagraph"/>
        <w:keepNext/>
        <w:numPr>
          <w:ilvl w:val="0"/>
          <w:numId w:val="1"/>
        </w:numPr>
        <w:spacing w:after="120" w:line="264"/>
      </w:pPr>
      <w:r>
        <w:rPr>
          <w:rFonts w:ascii="Calibri" w:cs="Calibri" w:eastAsia="Calibri" w:hAnsi="Calibri"/>
          <w:sz w:val="22"/>
          <w:szCs w:val="22"/>
        </w:rPr>
        <w:t xml:space="preserve">The Donor, any consenting spouse, and the Donee or the Donee's representative must appear before the notary with competent evidence of identity. For a minor, a parent or guardian accepts. For an organization, keep the board resolution authorizing the acceptance. If signing abroad, use a notary or Philippine consul there and then apostille or authenticate the deed.</w:t>
      </w:r>
    </w:p>
    <w:p>
      <w:pPr>
        <w:pStyle w:val="ListParagraph"/>
        <w:keepNext w:val="false"/>
        <w:numPr>
          <w:ilvl w:val="0"/>
          <w:numId w:val="1"/>
        </w:numPr>
        <w:spacing w:after="120" w:line="264"/>
      </w:pPr>
      <w:r>
        <w:rPr>
          <w:rFonts w:ascii="Calibri" w:cs="Calibri" w:eastAsia="Calibri" w:hAnsi="Calibri"/>
          <w:sz w:val="22"/>
          <w:szCs w:val="22"/>
        </w:rPr>
        <w:t xml:space="preserve">Use a Philippine estate lawyer for a large gift, business shares, a disputed or blended family, or any doubt about the Donor's capacity.</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estate-lawyer review required before signing | Last legal check 2026-10-01 | Next review due 2026-11-01</w:t>
      </w:r>
    </w:p>
    <w:p>
      <w:pPr>
        <w:keepNext/>
        <w:spacing w:after="60" w:before="100"/>
      </w:pPr>
      <w:r>
        <w:rPr>
          <w:rFonts w:ascii="Calibri" w:cs="Calibri" w:eastAsia="Calibri" w:hAnsi="Calibri"/>
          <w:b/>
          <w:bCs/>
          <w:sz w:val="18"/>
          <w:szCs w:val="18"/>
        </w:rPr>
        <w:t xml:space="preserve">Civil Code of the Philippines (Republic Act No. 386) - Arts. 712 and 734 (ownership passes by donation, perfected when the donor knows of the acceptance), Art. 728 (gifts effective on death follow succession rules), Art. 739 (void donations), Art. 741 (acceptance by representatives), Arts. 748–749 (form; land donations must state the value of charges; acceptance during the donor's lifetime), Arts. 750–752 (support reserve, no future property, inofficiousness), Art. 757 (reversion), Art. 759 (donation in fraud of creditors), Arts. 760–765 (revocation and reduction), Art. 1387 (presumed fraud) (checked 2026-10-01)</w:t>
      </w:r>
    </w:p>
    <w:p>
      <w:pPr>
        <w:spacing w:after="120"/>
      </w:pPr>
      <w:hyperlink w:history="1" r:id="rIdghqvogh3ch-qgdbannw4l">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Family Code of the Philippines (Executive Order No. 209) - Art. 75 (default regime), Art. 87 (donations between spouses and common-law partners), Arts. 91–93 and 109 (community, conjugal and exclusive property), Arts. 98 and 125 (donation of community or conjugal property needs the other spouse's consent), Arts. 103 and 130 (liquidation after death; later disposition void) (checked 2026-10-01)</w:t>
      </w:r>
    </w:p>
    <w:p>
      <w:pPr>
        <w:spacing w:after="120"/>
      </w:pPr>
      <w:hyperlink w:history="1" r:id="rIduupdxzbkniuppja9wxr6v">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National Internal Revenue Code of 1997 (Republic Act No. 8424), as amended - Secs. 98–104: donor's tax; Sec. 103(B): return filed and tax paid within thirty days after the date of the gift (checked 2026-10-01)</w:t>
      </w:r>
    </w:p>
    <w:p>
      <w:pPr>
        <w:spacing w:after="120"/>
      </w:pPr>
      <w:hyperlink w:history="1" r:id="rIda889l_aqm8_qq4-i-d0ca">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TRAIN Law (Republic Act No. 10963) - Sec. 99 as amended: 6% donor's tax on total gifts above PHP 250,000 in a calendar year; Sec. 196 as amended: documentary stamp tax of PHP 15 for each PHP 1,000 on donations of real property (checked 2026-10-01)</w:t>
      </w:r>
    </w:p>
    <w:p>
      <w:pPr>
        <w:spacing w:after="120"/>
      </w:pPr>
      <w:hyperlink w:history="1" r:id="rIdpo0sraokfkm0m1pumrsvc">
        <w:r>
          <w:rPr>
            <w:rFonts w:ascii="Calibri" w:cs="Calibri" w:eastAsia="Calibri" w:hAnsi="Calibri"/>
            <w:color w:val="315B75"/>
            <w:sz w:val="17"/>
            <w:szCs w:val="17"/>
            <w:u w:val="single"/>
          </w:rPr>
          <w:t xml:space="preserve">https://lawphil.net/statutes/repacts/ra2017/ra_10963_2017.html</w:t>
        </w:r>
      </w:hyperlink>
    </w:p>
    <w:p>
      <w:pPr>
        <w:keepNext/>
        <w:spacing w:after="60" w:before="100"/>
      </w:pPr>
      <w:r>
        <w:rPr>
          <w:rFonts w:ascii="Calibri" w:cs="Calibri" w:eastAsia="Calibri" w:hAnsi="Calibri"/>
          <w:b/>
          <w:bCs/>
          <w:sz w:val="18"/>
          <w:szCs w:val="18"/>
        </w:rPr>
        <w:t xml:space="preserve">BIR Form No. 2000-OT guidelines (documentary stamp tax) - Return filed and tax paid within five days after the close of the month when the taxable document was made, signed, or transferred (checked 2026-10-01)</w:t>
      </w:r>
    </w:p>
    <w:p>
      <w:pPr>
        <w:spacing w:after="120"/>
      </w:pPr>
      <w:hyperlink w:history="1" r:id="rId2dxqpi9c4vey5vsddixsb">
        <w:r>
          <w:rPr>
            <w:rFonts w:ascii="Calibri" w:cs="Calibri" w:eastAsia="Calibri" w:hAnsi="Calibri"/>
            <w:color w:val="315B75"/>
            <w:sz w:val="17"/>
            <w:szCs w:val="17"/>
            <w:u w:val="single"/>
          </w:rPr>
          <w:t xml:space="preserve">https://bir-cdn.bir.gov.ph/local/pdf/2000-OT%20GL%20-%20revised2021.pdf</w:t>
        </w:r>
      </w:hyperlink>
    </w:p>
    <w:p>
      <w:pPr>
        <w:keepNext/>
        <w:spacing w:after="60" w:before="100"/>
      </w:pPr>
      <w:r>
        <w:rPr>
          <w:rFonts w:ascii="Calibri" w:cs="Calibri" w:eastAsia="Calibri" w:hAnsi="Calibri"/>
          <w:b/>
          <w:bCs/>
          <w:sz w:val="18"/>
          <w:szCs w:val="18"/>
        </w:rPr>
        <w:t xml:space="preserve">Local Government Code of 1991 (Republic Act No. 7160) - Sec. 135: local transfer tax on donations of real property, the donor's duty to pay within sixty days from execution of the deed (checked 2026-10-01)</w:t>
      </w:r>
    </w:p>
    <w:p>
      <w:pPr>
        <w:spacing w:after="120"/>
      </w:pPr>
      <w:hyperlink w:history="1" r:id="rIdugpzslqjgouenqhtsfsmo">
        <w:r>
          <w:rPr>
            <w:rFonts w:ascii="Calibri" w:cs="Calibri" w:eastAsia="Calibri" w:hAnsi="Calibri"/>
            <w:color w:val="315B75"/>
            <w:sz w:val="17"/>
            <w:szCs w:val="17"/>
            <w:u w:val="single"/>
          </w:rPr>
          <w:t xml:space="preserve">https://lawphil.net/statutes/repacts/ra1991/ra_7160_1991.html</w:t>
        </w:r>
      </w:hyperlink>
    </w:p>
    <w:p>
      <w:pPr>
        <w:keepNext/>
        <w:spacing w:after="60" w:before="100"/>
      </w:pPr>
      <w:r>
        <w:rPr>
          <w:rFonts w:ascii="Calibri" w:cs="Calibri" w:eastAsia="Calibri" w:hAnsi="Calibri"/>
          <w:b/>
          <w:bCs/>
          <w:sz w:val="18"/>
          <w:szCs w:val="18"/>
        </w:rPr>
        <w:t xml:space="preserve">Property Registration Decree (Presidential Decree No. 1529) - Sec. 51 (registration binds third persons), Sec. 112 (registrable instruments signed before two witnesses; acknowledgment states the page count and left-margin signing) (checked 2026-10-01)</w:t>
      </w:r>
    </w:p>
    <w:p>
      <w:pPr>
        <w:spacing w:after="120"/>
      </w:pPr>
      <w:hyperlink w:history="1" r:id="rIdzg9il3kvifrs6ptqvt7w0">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BIR checklist of documentary requirements for real-property transfers (RMO No. 28-2016, Annex B) - Mandatory TINs of the parties, notarized deed, tax declarations, and title for the certificate authorizing registration (checked 2026-10-01)</w:t>
      </w:r>
    </w:p>
    <w:p>
      <w:pPr>
        <w:spacing w:after="120"/>
      </w:pPr>
      <w:hyperlink w:history="1" r:id="rId5rrkzmt9hd3yqeqc-b7uw">
        <w:r>
          <w:rPr>
            <w:rFonts w:ascii="Calibri" w:cs="Calibri" w:eastAsia="Calibri" w:hAnsi="Calibri"/>
            <w:color w:val="315B75"/>
            <w:sz w:val="17"/>
            <w:szCs w:val="17"/>
            <w:u w:val="single"/>
          </w:rPr>
          <w:t xml:space="preserve">https://bir-cdn.bir.gov.ph/BIR/pdf/RMO%20No.%2028-2016%20Annex%20B.pdf</w:t>
        </w:r>
      </w:hyperlink>
    </w:p>
    <w:p>
      <w:pPr>
        <w:keepNext/>
        <w:spacing w:after="60" w:before="100"/>
      </w:pPr>
      <w:r>
        <w:rPr>
          <w:rFonts w:ascii="Calibri" w:cs="Calibri" w:eastAsia="Calibri" w:hAnsi="Calibri"/>
          <w:b/>
          <w:bCs/>
          <w:sz w:val="18"/>
          <w:szCs w:val="18"/>
        </w:rPr>
        <w:t xml:space="preserve">1987 Constitution of the Republic of the Philippines - Art. XII, Sec. 7: private lands may be acquired only by Filipino citizens and qualified corporations, subject to limited exceptions (checked 2026-10-01)</w:t>
      </w:r>
    </w:p>
    <w:p>
      <w:pPr>
        <w:spacing w:after="120"/>
      </w:pPr>
      <w:hyperlink w:history="1" r:id="rIdtordco5jtkogeo6srzvu8">
        <w:r>
          <w:rPr>
            <w:rFonts w:ascii="Calibri" w:cs="Calibri" w:eastAsia="Calibri" w:hAnsi="Calibri"/>
            <w:color w:val="315B75"/>
            <w:sz w:val="17"/>
            <w:szCs w:val="17"/>
            <w:u w:val="single"/>
          </w:rPr>
          <w:t xml:space="preserve">https://lawphil.net/consti/cons1987.html</w:t>
        </w:r>
      </w:hyperlink>
    </w:p>
    <w:p>
      <w:pPr>
        <w:keepNext/>
        <w:spacing w:after="60" w:before="100"/>
      </w:pPr>
      <w:r>
        <w:rPr>
          <w:rFonts w:ascii="Calibri" w:cs="Calibri" w:eastAsia="Calibri" w:hAnsi="Calibri"/>
          <w:b/>
          <w:bCs/>
          <w:sz w:val="18"/>
          <w:szCs w:val="18"/>
        </w:rPr>
        <w:t xml:space="preserve">Comprehensive Agrarian Reform Law (Republic Act No. 6657), as amended - Sec. 27: restrictions on transfer of awarded agrarian reform land (checked 2026-09-21)</w:t>
      </w:r>
    </w:p>
    <w:p>
      <w:pPr>
        <w:spacing w:after="120"/>
      </w:pPr>
      <w:hyperlink w:history="1" r:id="rIdpit3txemag4wf7lm9mtli">
        <w:r>
          <w:rPr>
            <w:rFonts w:ascii="Calibri" w:cs="Calibri" w:eastAsia="Calibri" w:hAnsi="Calibri"/>
            <w:color w:val="315B75"/>
            <w:sz w:val="17"/>
            <w:szCs w:val="17"/>
            <w:u w:val="single"/>
          </w:rPr>
          <w:t xml:space="preserve">https://lawphil.net/statutes/repacts/ra1988/ra_6657_1988.html</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and the representative's authority to sign in that capacity (Rule II, Sec. 1) (checked 2026-10-01)</w:t>
      </w:r>
    </w:p>
    <w:p>
      <w:pPr>
        <w:spacing w:after="120"/>
      </w:pPr>
      <w:hyperlink w:history="1" r:id="rIdhssayav6xo9ol0fserdws">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route, accredited electronic notary and facility requirements (checked 2026-09-21)</w:t>
      </w:r>
    </w:p>
    <w:p>
      <w:pPr>
        <w:spacing w:after="120"/>
      </w:pPr>
      <w:hyperlink w:history="1" r:id="rIdxwrh6u93nz_lm6pnvuf5i">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DFA Apostille guidance - Apostille routing for a deed signed and notarized abroad (checked 2026-09-21)</w:t>
      </w:r>
    </w:p>
    <w:p>
      <w:pPr>
        <w:spacing w:after="120"/>
      </w:pPr>
      <w:hyperlink w:history="1" r:id="rIdermz6tqpn2jbjbuhopmfu">
        <w:r>
          <w:rPr>
            <w:rFonts w:ascii="Calibri" w:cs="Calibri" w:eastAsia="Calibri" w:hAnsi="Calibri"/>
            <w:color w:val="315B75"/>
            <w:sz w:val="17"/>
            <w:szCs w:val="17"/>
            <w:u w:val="single"/>
          </w:rPr>
          <w:t xml:space="preserve">https://dfa.gov.ph/dfa-news/dfa-releasesupdate/22280-questions-et-r%C3%83%C6%92%C3%82%C2%A9ponses-et-infographies-sur-l%27authentification-par-apostille</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qvogh3ch-qgdbannw4l" Type="http://schemas.openxmlformats.org/officeDocument/2006/relationships/hyperlink" Target="https://lawphil.net/statutes/repacts/ra1949/ra_386_1949.html" TargetMode="External"/><Relationship Id="rIduupdxzbkniuppja9wxr6v" Type="http://schemas.openxmlformats.org/officeDocument/2006/relationships/hyperlink" Target="https://lawphil.net/executive/execord/eo1987/eo_209_1987.html" TargetMode="External"/><Relationship Id="rIda889l_aqm8_qq4-i-d0ca" Type="http://schemas.openxmlformats.org/officeDocument/2006/relationships/hyperlink" Target="https://lawphil.net/statutes/repacts/ra1997/ra_8424_1997.html" TargetMode="External"/><Relationship Id="rIdpo0sraokfkm0m1pumrsvc" Type="http://schemas.openxmlformats.org/officeDocument/2006/relationships/hyperlink" Target="https://lawphil.net/statutes/repacts/ra2017/ra_10963_2017.html" TargetMode="External"/><Relationship Id="rId2dxqpi9c4vey5vsddixsb" Type="http://schemas.openxmlformats.org/officeDocument/2006/relationships/hyperlink" Target="https://bir-cdn.bir.gov.ph/local/pdf/2000-OT%20GL%20-%20revised2021.pdf" TargetMode="External"/><Relationship Id="rIdugpzslqjgouenqhtsfsmo" Type="http://schemas.openxmlformats.org/officeDocument/2006/relationships/hyperlink" Target="https://lawphil.net/statutes/repacts/ra1991/ra_7160_1991.html" TargetMode="External"/><Relationship Id="rIdzg9il3kvifrs6ptqvt7w0" Type="http://schemas.openxmlformats.org/officeDocument/2006/relationships/hyperlink" Target="https://lawphil.net/statutes/presdecs/pd1978/pd_1529_1978.html" TargetMode="External"/><Relationship Id="rId5rrkzmt9hd3yqeqc-b7uw" Type="http://schemas.openxmlformats.org/officeDocument/2006/relationships/hyperlink" Target="https://bir-cdn.bir.gov.ph/BIR/pdf/RMO%20No.%2028-2016%20Annex%20B.pdf" TargetMode="External"/><Relationship Id="rIdtordco5jtkogeo6srzvu8" Type="http://schemas.openxmlformats.org/officeDocument/2006/relationships/hyperlink" Target="https://lawphil.net/consti/cons1987.html" TargetMode="External"/><Relationship Id="rIdpit3txemag4wf7lm9mtli" Type="http://schemas.openxmlformats.org/officeDocument/2006/relationships/hyperlink" Target="https://lawphil.net/statutes/repacts/ra1988/ra_6657_1988.html" TargetMode="External"/><Relationship Id="rIdhssayav6xo9ol0fserdws" Type="http://schemas.openxmlformats.org/officeDocument/2006/relationships/hyperlink" Target="https://sc.judiciary.gov.ph/wp-content/uploads/2022/08/02-08-13-SC-1.pdf" TargetMode="External"/><Relationship Id="rIdxwrh6u93nz_lm6pnvuf5i" Type="http://schemas.openxmlformats.org/officeDocument/2006/relationships/hyperlink" Target="https://sc.judiciary.gov.ph/24-10-14-sc-rules-on-electronic-notarization/" TargetMode="External"/><Relationship Id="rIdermz6tqpn2jbjbuhopmfu" Type="http://schemas.openxmlformats.org/officeDocument/2006/relationships/hyperlink" Target="https://dfa.gov.ph/dfa-news/dfa-releasesupdate/22280-questions-et-r%C3%83%C6%92%C3%82%C2%A9ponses-et-infographies-sur-l%27authentification-par-apostille"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DONATION INTER VIVOS</dc:title>
  <dc:creator>LAW.PH</dc:creator>
  <dc:description>Free sample of the Deed of Donation from LAW.PH, with fictional details</dc:description>
  <cp:lastModifiedBy>Un-named</cp:lastModifiedBy>
  <cp:revision>1</cp:revision>
  <dcterms:created xsi:type="dcterms:W3CDTF">2026-10-02T05:29:56.947Z</dcterms:created>
  <dcterms:modified xsi:type="dcterms:W3CDTF">2026-10-02T05:29:56.947Z</dcterms:modified>
</cp:coreProperties>
</file>

<file path=docProps/custom.xml><?xml version="1.0" encoding="utf-8"?>
<Properties xmlns="http://schemas.openxmlformats.org/officeDocument/2006/custom-properties" xmlns:vt="http://schemas.openxmlformats.org/officeDocument/2006/docPropsVTypes"/>
</file>