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DEED OF ABSOLUTE SALE OF PERSONAL PROPERTY</w:t>
      </w:r>
    </w:p>
    <w:p>
      <w:pPr>
        <w:spacing w:after="160"/>
        <w:jc w:val="center"/>
      </w:pPr>
      <w:r>
        <w:rPr>
          <w:rFonts w:ascii="Calibri" w:cs="Calibri" w:eastAsia="Calibri" w:hAnsi="Calibri"/>
          <w:color w:val="566674"/>
          <w:sz w:val="18"/>
          <w:szCs w:val="18"/>
        </w:rPr>
        <w:t xml:space="preserve">Republic of the Philippines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lawyer review pending</w:t>
      </w:r>
    </w:p>
    <w:p>
      <w:pPr>
        <w:keepLines/>
        <w:spacing w:after="120" w:line="264"/>
        <w:jc w:val="both"/>
      </w:pPr>
      <w:r>
        <w:rPr>
          <w:rFonts w:ascii="Calibri" w:cs="Calibri" w:eastAsia="Calibri" w:hAnsi="Calibri"/>
          <w:sz w:val="22"/>
          <w:szCs w:val="22"/>
        </w:rPr>
        <w:t xml:space="preserve">This Deed of Absolute Sale of Personal Property (the “Deed”) is executed on August 29, 2026 by Maria L. Santos, of legal age, single, with address at 100 Ayala Avenue, Makati City 1226, as “Seller,” in favor of Roberto C. Bautista, of legal age, doing business under the name and style Sampaguita Printworks, with address at 20 Kalayaan Avenue, Quezon City 1100, as “Buyer.”</w:t>
      </w:r>
    </w:p>
    <w:p>
      <w:pPr>
        <w:keepLines/>
        <w:spacing w:after="120" w:line="264"/>
        <w:jc w:val="both"/>
      </w:pPr>
      <w:r>
        <w:rPr>
          <w:rFonts w:ascii="Calibri" w:cs="Calibri" w:eastAsia="Calibri" w:hAnsi="Calibri"/>
          <w:sz w:val="22"/>
          <w:szCs w:val="22"/>
        </w:rPr>
        <w:t xml:space="preserve">The parties intend an absolute sale for a certain price of the specifically identified tangible movable property below. This Deed is not an open deed, installment sale, security agreement, or transfer of land, a motor vehicle, shares, intellectual property, ship, or aircraft.</w:t>
      </w:r>
    </w:p>
    <w:p>
      <w:pPr>
        <w:pStyle w:val="Heading2"/>
        <w:keepNext/>
        <w:spacing w:after="120" w:before="240"/>
      </w:pPr>
      <w:r>
        <w:rPr>
          <w:rFonts w:ascii="Calibri" w:cs="Calibri" w:eastAsia="Calibri" w:hAnsi="Calibri"/>
          <w:b/>
          <w:bCs/>
          <w:color w:val="102B3F"/>
          <w:sz w:val="26"/>
          <w:szCs w:val="26"/>
        </w:rPr>
        <w:t xml:space="preserve">1. Property sold</w:t>
      </w:r>
    </w:p>
    <w:p>
      <w:pPr>
        <w:keepLines/>
        <w:spacing w:after="120" w:line="264"/>
        <w:jc w:val="both"/>
      </w:pPr>
      <w:r>
        <w:rPr>
          <w:rFonts w:ascii="Calibri" w:cs="Calibri" w:eastAsia="Calibri" w:hAnsi="Calibri"/>
          <w:sz w:val="22"/>
          <w:szCs w:val="22"/>
        </w:rPr>
        <w:t xml:space="preserve">The property is categorized as equipment and is specifically described as follows: One Heidelberg offset printing press, model SM 52-2, manufactured in 2017, gray finish, presently located at the Seller's Makati warehouse.</w:t>
      </w:r>
    </w:p>
    <w:p>
      <w:pPr>
        <w:keepLines/>
        <w:spacing w:after="120" w:line="264"/>
        <w:jc w:val="both"/>
      </w:pPr>
      <w:r>
        <w:rPr>
          <w:rFonts w:ascii="Calibri" w:cs="Calibri" w:eastAsia="Calibri" w:hAnsi="Calibri"/>
          <w:sz w:val="22"/>
          <w:szCs w:val="22"/>
        </w:rPr>
        <w:t xml:space="preserve">Unique identifiers: Manufacturer serial number 205001 and Seller asset tag MLS-044. Included accessories, components, and records: Installed feeder, delivery unit, operator console, two manuals, and one tool kit.</w:t>
      </w:r>
    </w:p>
    <w:p>
      <w:pPr>
        <w:keepLines/>
        <w:spacing w:after="120" w:line="264"/>
        <w:jc w:val="both"/>
      </w:pPr>
      <w:r>
        <w:rPr>
          <w:rFonts w:ascii="Calibri" w:cs="Calibri" w:eastAsia="Calibri" w:hAnsi="Calibri"/>
          <w:sz w:val="22"/>
          <w:szCs w:val="22"/>
        </w:rPr>
        <w:t xml:space="preserve">The property is transferred as one identified sale lot for the total price stated below.</w:t>
      </w:r>
    </w:p>
    <w:p>
      <w:pPr>
        <w:pStyle w:val="Heading2"/>
        <w:keepNext/>
        <w:spacing w:after="120" w:before="240"/>
      </w:pPr>
      <w:r>
        <w:rPr>
          <w:rFonts w:ascii="Calibri" w:cs="Calibri" w:eastAsia="Calibri" w:hAnsi="Calibri"/>
          <w:b/>
          <w:bCs/>
          <w:color w:val="102B3F"/>
          <w:sz w:val="26"/>
          <w:szCs w:val="26"/>
        </w:rPr>
        <w:t xml:space="preserve">2. Absolute sale and price</w:t>
      </w:r>
    </w:p>
    <w:p>
      <w:pPr>
        <w:keepLines/>
        <w:spacing w:after="120" w:line="264"/>
        <w:jc w:val="both"/>
      </w:pPr>
      <w:r>
        <w:rPr>
          <w:rFonts w:ascii="Calibri" w:cs="Calibri" w:eastAsia="Calibri" w:hAnsi="Calibri"/>
          <w:sz w:val="22"/>
          <w:szCs w:val="22"/>
        </w:rPr>
        <w:t xml:space="preserve">For the total price of ₱850,000.00, the Seller sells, assigns, and transfers the Property to the Buyer, subject only to actual full payment, delivery, and the disclosed matters in this Deed. The Buyer shall pay the full price simultaneously with signing by bank transfer to the Seller's nominated account in immediately available funds. Payment reference: Transfer reference BPI-20260829-7781.</w:t>
      </w:r>
    </w:p>
    <w:p>
      <w:pPr>
        <w:keepLines/>
        <w:spacing w:after="120" w:line="264"/>
        <w:jc w:val="both"/>
      </w:pPr>
      <w:r>
        <w:rPr>
          <w:rFonts w:ascii="Calibri" w:cs="Calibri" w:eastAsia="Calibri" w:hAnsi="Calibri"/>
          <w:sz w:val="22"/>
          <w:szCs w:val="22"/>
        </w:rPr>
        <w:t xml:space="preserve">The stated price includes every tax lawfully chargeable by the Seller to the Buyer for this sale. Each party remains responsible for taxes legally imposed on that party, and the Seller shall issue any invoice or receipt required by its actual tax status.</w:t>
      </w:r>
    </w:p>
    <w:p>
      <w:pPr>
        <w:keepLines/>
        <w:spacing w:after="120" w:line="264"/>
        <w:jc w:val="both"/>
      </w:pPr>
      <w:r>
        <w:rPr>
          <w:rFonts w:ascii="Calibri" w:cs="Calibri" w:eastAsia="Calibri" w:hAnsi="Calibri"/>
          <w:sz w:val="22"/>
          <w:szCs w:val="22"/>
        </w:rPr>
        <w:t xml:space="preserve">No balance remains after the agreed full-payment event. If any price will remain unpaid after signing, the parties must use an installment or conditional-sale instrument rather than rely on this Deed.</w:t>
      </w:r>
    </w:p>
    <w:p>
      <w:pPr>
        <w:pStyle w:val="Heading2"/>
        <w:keepNext/>
        <w:spacing w:after="120" w:before="240"/>
      </w:pPr>
      <w:r>
        <w:rPr>
          <w:rFonts w:ascii="Calibri" w:cs="Calibri" w:eastAsia="Calibri" w:hAnsi="Calibri"/>
          <w:b/>
          <w:bCs/>
          <w:color w:val="102B3F"/>
          <w:sz w:val="26"/>
          <w:szCs w:val="26"/>
        </w:rPr>
        <w:t xml:space="preserve">3. Seller's title, authority, and disclosed claims</w:t>
      </w:r>
    </w:p>
    <w:p>
      <w:pPr>
        <w:keepLines/>
        <w:spacing w:after="120" w:line="264"/>
        <w:jc w:val="both"/>
      </w:pPr>
      <w:r>
        <w:rPr>
          <w:rFonts w:ascii="Calibri" w:cs="Calibri" w:eastAsia="Calibri" w:hAnsi="Calibri"/>
          <w:sz w:val="22"/>
          <w:szCs w:val="22"/>
        </w:rPr>
        <w:t xml:space="preserve">The Seller represents that it owns the Property or has lawful written authority to sell and transfer it. The basis is: Purchased new from Philippine Graphic Machines under Invoice PGM-2017-441 dated June 3, 2017. The Seller represents that the identifiers and provenance stated in this Deed are accurate and that the Property is not stolen, counterfeit, unlawfully possessed, or subject to an undisclosed ownership claim.</w:t>
      </w:r>
    </w:p>
    <w:p>
      <w:pPr>
        <w:keepLines/>
        <w:spacing w:after="120" w:line="264"/>
        <w:jc w:val="both"/>
      </w:pPr>
      <w:r>
        <w:rPr>
          <w:rFonts w:ascii="Calibri" w:cs="Calibri" w:eastAsia="Calibri" w:hAnsi="Calibri"/>
          <w:sz w:val="22"/>
          <w:szCs w:val="22"/>
        </w:rPr>
        <w:t xml:space="preserve">The Seller states that the Property is the Seller's separate property and that no spousal or third-party consent is required for this disposition.</w:t>
      </w:r>
    </w:p>
    <w:p>
      <w:pPr>
        <w:keepLines/>
        <w:spacing w:after="120" w:line="264"/>
        <w:jc w:val="both"/>
      </w:pPr>
      <w:r>
        <w:rPr>
          <w:rFonts w:ascii="Calibri" w:cs="Calibri" w:eastAsia="Calibri" w:hAnsi="Calibri"/>
          <w:sz w:val="22"/>
          <w:szCs w:val="22"/>
        </w:rPr>
        <w:t xml:space="preserve">The parties record that a relevant search of the LRA Personal Property Security Registry found no active notice identified by the search criteria. A registry search is not itself a guarantee of title or absence of unregistered claims; the search report and criteria must be retained.</w:t>
      </w:r>
    </w:p>
    <w:p>
      <w:pPr>
        <w:keepLines/>
        <w:spacing w:after="120" w:line="264"/>
        <w:jc w:val="both"/>
      </w:pPr>
      <w:r>
        <w:rPr>
          <w:rFonts w:ascii="Calibri" w:cs="Calibri" w:eastAsia="Calibri" w:hAnsi="Calibri"/>
          <w:sz w:val="22"/>
          <w:szCs w:val="22"/>
        </w:rPr>
        <w:t xml:space="preserve">Except as expressly disclosed in this Deed, the Seller warrants that the Property is free from another person's ownership, lease, attachment, repairer's lien, security interest, encumbrance, or restriction on transfer.</w:t>
      </w:r>
    </w:p>
    <w:p>
      <w:pPr>
        <w:keepLines/>
        <w:spacing w:after="120" w:line="264"/>
        <w:jc w:val="both"/>
      </w:pPr>
      <w:r>
        <w:rPr>
          <w:rFonts w:ascii="Calibri" w:cs="Calibri" w:eastAsia="Calibri" w:hAnsi="Calibri"/>
          <w:sz w:val="22"/>
          <w:szCs w:val="22"/>
        </w:rPr>
        <w:t xml:space="preserve">The interview records no unresolved registry notice, claim, or consent issue, subject to verification of the underlying evidence.</w:t>
      </w:r>
    </w:p>
    <w:p>
      <w:pPr>
        <w:pStyle w:val="Heading2"/>
        <w:keepNext/>
        <w:spacing w:after="120" w:before="240"/>
      </w:pPr>
      <w:r>
        <w:rPr>
          <w:rFonts w:ascii="Calibri" w:cs="Calibri" w:eastAsia="Calibri" w:hAnsi="Calibri"/>
          <w:b/>
          <w:bCs/>
          <w:color w:val="102B3F"/>
          <w:sz w:val="26"/>
          <w:szCs w:val="26"/>
        </w:rPr>
        <w:t xml:space="preserve">4. Delivery, ownership, and risk</w:t>
      </w:r>
    </w:p>
    <w:p>
      <w:pPr>
        <w:keepLines/>
        <w:spacing w:after="120" w:line="264"/>
        <w:jc w:val="both"/>
      </w:pPr>
      <w:r>
        <w:rPr>
          <w:rFonts w:ascii="Calibri" w:cs="Calibri" w:eastAsia="Calibri" w:hAnsi="Calibri"/>
          <w:sz w:val="22"/>
          <w:szCs w:val="22"/>
        </w:rPr>
        <w:t xml:space="preserve">The Seller shall deliver possession and control of the Property on August 29, 2026 at the Seller's address stated in this Deed. Delivery occurs by physical turnover to the Buyer together with the included accessories and records.</w:t>
      </w:r>
    </w:p>
    <w:p>
      <w:pPr>
        <w:keepLines/>
        <w:spacing w:after="120" w:line="264"/>
        <w:jc w:val="both"/>
      </w:pPr>
      <w:r>
        <w:rPr>
          <w:rFonts w:ascii="Calibri" w:cs="Calibri" w:eastAsia="Calibri" w:hAnsi="Calibri"/>
          <w:sz w:val="22"/>
          <w:szCs w:val="22"/>
        </w:rPr>
        <w:t xml:space="preserve">Ownership passes to the Buyer only when both full cleared payment and delivery have occurred. Until then, the Seller retains ownership, custody obligations, and risk of loss, except to the extent a loss is caused by the Buyer's wrongful delay in accepting conforming delivery. After delivery, ordinary risk passes to the Buyer, without limiting a claim for a pre-existing defect, breach, fraud, or nonconformity.</w:t>
      </w:r>
    </w:p>
    <w:p>
      <w:pPr>
        <w:keepLines/>
        <w:spacing w:after="120" w:line="264"/>
        <w:jc w:val="both"/>
      </w:pPr>
      <w:r>
        <w:rPr>
          <w:rFonts w:ascii="Calibri" w:cs="Calibri" w:eastAsia="Calibri" w:hAnsi="Calibri"/>
          <w:sz w:val="22"/>
          <w:szCs w:val="22"/>
        </w:rPr>
        <w:t xml:space="preserve">The parties shall sign a dated turnover record identifying the Property, identifiers, included items, meter or usage readings if any, keys or credentials, visible condition, documents, and the person receiving possession. Partial or substituted delivery requires the Buyer's written acceptance.</w:t>
      </w:r>
    </w:p>
    <w:p>
      <w:pPr>
        <w:pStyle w:val="Heading2"/>
        <w:keepNext/>
        <w:spacing w:after="120" w:before="240"/>
      </w:pPr>
      <w:r>
        <w:rPr>
          <w:rFonts w:ascii="Calibri" w:cs="Calibri" w:eastAsia="Calibri" w:hAnsi="Calibri"/>
          <w:b/>
          <w:bCs/>
          <w:color w:val="102B3F"/>
          <w:sz w:val="26"/>
          <w:szCs w:val="26"/>
        </w:rPr>
        <w:t xml:space="preserve">5. Inspection, condition, and disclosed defects</w:t>
      </w:r>
    </w:p>
    <w:p>
      <w:pPr>
        <w:keepLines/>
        <w:spacing w:after="120" w:line="264"/>
        <w:jc w:val="both"/>
      </w:pPr>
      <w:r>
        <w:rPr>
          <w:rFonts w:ascii="Calibri" w:cs="Calibri" w:eastAsia="Calibri" w:hAnsi="Calibri"/>
          <w:sz w:val="22"/>
          <w:szCs w:val="22"/>
        </w:rPr>
        <w:t xml:space="preserve">The Buyer states that it had a reasonable opportunity to inspect and test the Property before signing. Its recorded condition is: Used, operational, and producing the sample output inspected by the Buyer, with ordinary cosmetic wear.</w:t>
      </w:r>
    </w:p>
    <w:p>
      <w:pPr>
        <w:keepLines/>
        <w:spacing w:after="120" w:line="264"/>
        <w:jc w:val="both"/>
      </w:pPr>
      <w:r>
        <w:rPr>
          <w:rFonts w:ascii="Calibri" w:cs="Calibri" w:eastAsia="Calibri" w:hAnsi="Calibri"/>
          <w:sz w:val="22"/>
          <w:szCs w:val="22"/>
        </w:rPr>
        <w:t xml:space="preserve">The Seller has disclosed no known material defect, damage, missing component, unauthorized modification, or operating limitation beyond ordinary wear consistent with the stated condition.</w:t>
      </w:r>
    </w:p>
    <w:p>
      <w:pPr>
        <w:keepLines/>
        <w:spacing w:after="120" w:line="264"/>
        <w:jc w:val="both"/>
      </w:pPr>
      <w:r>
        <w:rPr>
          <w:rFonts w:ascii="Calibri" w:cs="Calibri" w:eastAsia="Calibri" w:hAnsi="Calibri"/>
          <w:sz w:val="22"/>
          <w:szCs w:val="22"/>
        </w:rPr>
        <w:t xml:space="preserve">Inspection and acceptance cover only conditions reasonably discoverable through the agreed inspection. They do not waive fraud, intentional concealment, bad-faith nondisclosure, a false express representation, warranty against eviction, an applicable latent-defect remedy, product-safety duty, or a non-waivable consumer right.</w:t>
      </w:r>
    </w:p>
    <w:p>
      <w:pPr>
        <w:pStyle w:val="Heading2"/>
        <w:keepNext/>
        <w:spacing w:after="120" w:before="240"/>
      </w:pPr>
      <w:r>
        <w:rPr>
          <w:rFonts w:ascii="Calibri" w:cs="Calibri" w:eastAsia="Calibri" w:hAnsi="Calibri"/>
          <w:b/>
          <w:bCs/>
          <w:color w:val="102B3F"/>
          <w:sz w:val="26"/>
          <w:szCs w:val="26"/>
        </w:rPr>
        <w:t xml:space="preserve">6. Warranties and remedies</w:t>
      </w:r>
    </w:p>
    <w:p>
      <w:pPr>
        <w:keepLines/>
        <w:spacing w:after="120" w:line="264"/>
        <w:jc w:val="both"/>
      </w:pPr>
      <w:r>
        <w:rPr>
          <w:rFonts w:ascii="Calibri" w:cs="Calibri" w:eastAsia="Calibri" w:hAnsi="Calibri"/>
          <w:sz w:val="22"/>
          <w:szCs w:val="22"/>
        </w:rPr>
        <w:t xml:space="preserve">The Seller warrants peaceful and lawful title and delivery and responds for eviction and hidden defects to the extent required by the Civil Code. No clause excludes liability for the Seller's fraud or bad faith. The Buyer's remedies remain subject to timely notice, proof, the nature of the defect, and applicable law.</w:t>
      </w:r>
    </w:p>
    <w:p>
      <w:pPr>
        <w:keepLines/>
        <w:spacing w:after="120" w:line="264"/>
        <w:jc w:val="both"/>
      </w:pPr>
      <w:r>
        <w:rPr>
          <w:rFonts w:ascii="Calibri" w:cs="Calibri" w:eastAsia="Calibri" w:hAnsi="Calibri"/>
          <w:sz w:val="22"/>
          <w:szCs w:val="22"/>
        </w:rPr>
        <w:t xml:space="preserve">The Seller gives no additional voluntary performance warranty beyond the express descriptions and representations in this Deed and rights imposed by law. This sentence is not a blanket 'as-is' waiver and does not exclude a right that cannot lawfully be waived.</w:t>
      </w:r>
    </w:p>
    <w:p>
      <w:pPr>
        <w:keepLines/>
        <w:spacing w:after="120" w:line="264"/>
        <w:jc w:val="both"/>
      </w:pPr>
      <w:r>
        <w:rPr>
          <w:rFonts w:ascii="Calibri" w:cs="Calibri" w:eastAsia="Calibri" w:hAnsi="Calibri"/>
          <w:sz w:val="22"/>
          <w:szCs w:val="22"/>
        </w:rPr>
        <w:t xml:space="preserve">The interview does not classify this as a business-to-consumer sale. If the actual facts establish a consumer transaction, mandatory consumer rights apply despite that selection.</w:t>
      </w:r>
    </w:p>
    <w:p>
      <w:pPr>
        <w:keepLines/>
        <w:spacing w:after="120" w:line="264"/>
        <w:jc w:val="both"/>
      </w:pPr>
      <w:r>
        <w:rPr>
          <w:rFonts w:ascii="Calibri" w:cs="Calibri" w:eastAsia="Calibri" w:hAnsi="Calibri"/>
          <w:sz w:val="22"/>
          <w:szCs w:val="22"/>
        </w:rPr>
        <w:t xml:space="preserve">A party claiming breach shall give reasonably prompt written notice with photographs, test results, serial numbers, delivery records, and other available evidence, preserve the Property from avoidable damage, and allow a reasonable verification opportunity. Neither party may impose self-help, remote lockout, repossession, public shaming, or another remedy not authorized by this Deed and law.</w:t>
      </w:r>
    </w:p>
    <w:p>
      <w:pPr>
        <w:pStyle w:val="Heading2"/>
        <w:keepNext/>
        <w:spacing w:after="120" w:before="240"/>
      </w:pPr>
      <w:r>
        <w:rPr>
          <w:rFonts w:ascii="Calibri" w:cs="Calibri" w:eastAsia="Calibri" w:hAnsi="Calibri"/>
          <w:b/>
          <w:bCs/>
          <w:color w:val="102B3F"/>
          <w:sz w:val="26"/>
          <w:szCs w:val="26"/>
        </w:rPr>
        <w:t xml:space="preserve">7. Accessories, records, credentials, and stored data</w:t>
      </w:r>
    </w:p>
    <w:p>
      <w:pPr>
        <w:keepLines/>
        <w:spacing w:after="120" w:line="264"/>
        <w:jc w:val="both"/>
      </w:pPr>
      <w:r>
        <w:rPr>
          <w:rFonts w:ascii="Calibri" w:cs="Calibri" w:eastAsia="Calibri" w:hAnsi="Calibri"/>
          <w:sz w:val="22"/>
          <w:szCs w:val="22"/>
        </w:rPr>
        <w:t xml:space="preserve">At turnover the Seller shall deliver: Original purchase records and available manufacturer manuals in the Seller's possession.</w:t>
      </w:r>
    </w:p>
    <w:p>
      <w:pPr>
        <w:keepLines/>
        <w:spacing w:after="120" w:line="264"/>
        <w:jc w:val="both"/>
      </w:pPr>
      <w:r>
        <w:rPr>
          <w:rFonts w:ascii="Calibri" w:cs="Calibri" w:eastAsia="Calibri" w:hAnsi="Calibri"/>
          <w:sz w:val="22"/>
          <w:szCs w:val="22"/>
        </w:rPr>
        <w:t xml:space="preserve">The parties state that the Property does not store personal or confidential data. If that changes, they shall stop turnover until accounts, credentials, remote management, backups, and secure erasure are addressed.</w:t>
      </w:r>
    </w:p>
    <w:p>
      <w:pPr>
        <w:keepLines/>
        <w:spacing w:after="120" w:line="264"/>
        <w:jc w:val="both"/>
      </w:pPr>
      <w:r>
        <w:rPr>
          <w:rFonts w:ascii="Calibri" w:cs="Calibri" w:eastAsia="Calibri" w:hAnsi="Calibri"/>
          <w:sz w:val="22"/>
          <w:szCs w:val="22"/>
        </w:rPr>
        <w:t xml:space="preserve">No copyright, software license, cloud account, subscription, personal data, confidential record, or other intangible right transfers merely because it is stored on or associated with the Property. Such a right transfers only if specifically identified and lawfully transferable in a separate written term.</w:t>
      </w:r>
    </w:p>
    <w:p>
      <w:pPr>
        <w:pStyle w:val="Heading2"/>
        <w:keepNext/>
        <w:spacing w:after="120" w:before="240"/>
      </w:pPr>
      <w:r>
        <w:rPr>
          <w:rFonts w:ascii="Calibri" w:cs="Calibri" w:eastAsia="Calibri" w:hAnsi="Calibri"/>
          <w:b/>
          <w:bCs/>
          <w:color w:val="102B3F"/>
          <w:sz w:val="26"/>
          <w:szCs w:val="26"/>
        </w:rPr>
        <w:t xml:space="preserve">8. Indemnity for pre-transfer claims</w:t>
      </w:r>
    </w:p>
    <w:p>
      <w:pPr>
        <w:keepLines/>
        <w:spacing w:after="120" w:line="264"/>
        <w:jc w:val="both"/>
      </w:pPr>
      <w:r>
        <w:rPr>
          <w:rFonts w:ascii="Calibri" w:cs="Calibri" w:eastAsia="Calibri" w:hAnsi="Calibri"/>
          <w:sz w:val="22"/>
          <w:szCs w:val="22"/>
        </w:rPr>
        <w:t xml:space="preserve">The Seller shall reimburse the Buyer for a direct, proven loss caused by the Seller's breach of its title, authority, provenance, no-undisclosed-claim, or intentional-nondisclosure representations, subject to notice and a reasonable opportunity to participate in the defense. This does not cover a loss caused by the Buyer's post-delivery use, alteration, negligence, or unlawful act. Nothing limits liability for fraud, bad faith, or another liability that cannot lawfully be limited.</w:t>
      </w:r>
    </w:p>
    <w:p>
      <w:pPr>
        <w:pStyle w:val="Heading2"/>
        <w:keepNext/>
        <w:spacing w:after="120" w:before="240"/>
      </w:pPr>
      <w:r>
        <w:rPr>
          <w:rFonts w:ascii="Calibri" w:cs="Calibri" w:eastAsia="Calibri" w:hAnsi="Calibri"/>
          <w:b/>
          <w:bCs/>
          <w:color w:val="102B3F"/>
          <w:sz w:val="26"/>
          <w:szCs w:val="26"/>
        </w:rPr>
        <w:t xml:space="preserve">9. Notices</w:t>
      </w:r>
    </w:p>
    <w:p>
      <w:pPr>
        <w:keepLines/>
        <w:spacing w:after="120" w:line="264"/>
        <w:jc w:val="both"/>
      </w:pPr>
      <w:r>
        <w:rPr>
          <w:rFonts w:ascii="Calibri" w:cs="Calibri" w:eastAsia="Calibri" w:hAnsi="Calibri"/>
          <w:sz w:val="22"/>
          <w:szCs w:val="22"/>
        </w:rPr>
        <w:t xml:space="preserve">A formal notice must be in writing and delivered personally, by reputable courier, or by email with evidence of transmission and receipt. Seller notices go to 100 Ayala Avenue, Makati City 1226; Buyer notices go to 20 Kalayaan Avenue, Quezon City 1100, or to replacement details designated in writing.</w:t>
      </w:r>
    </w:p>
    <w:p>
      <w:pPr>
        <w:pStyle w:val="Heading2"/>
        <w:keepNext/>
        <w:spacing w:after="120" w:before="240"/>
      </w:pPr>
      <w:r>
        <w:rPr>
          <w:rFonts w:ascii="Calibri" w:cs="Calibri" w:eastAsia="Calibri" w:hAnsi="Calibri"/>
          <w:b/>
          <w:bCs/>
          <w:color w:val="102B3F"/>
          <w:sz w:val="26"/>
          <w:szCs w:val="26"/>
        </w:rPr>
        <w:t xml:space="preserve">10. Governing law and disputes</w:t>
      </w:r>
    </w:p>
    <w:p>
      <w:pPr>
        <w:keepLines/>
        <w:spacing w:after="120" w:line="264"/>
        <w:jc w:val="both"/>
      </w:pPr>
      <w:r>
        <w:rPr>
          <w:rFonts w:ascii="Calibri" w:cs="Calibri" w:eastAsia="Calibri" w:hAnsi="Calibri"/>
          <w:sz w:val="22"/>
          <w:szCs w:val="22"/>
        </w:rPr>
        <w:t xml:space="preserve">This Deed is governed by Philippine law. Before filing an ordinary civil action, the parties shall meet in good faith within ten calendar days after a written dispute notice unless urgent relief, preservation of evidence, consumer procedure, or a prescriptive period requires earlier action. Subject to mandatory jurisdiction, barangay conciliation, and small-claims rules, any action arising from this Deed shall be filed exclusively in the proper courts of Makati City, to the exclusion of all other courts.</w:t>
      </w:r>
    </w:p>
    <w:p>
      <w:pPr>
        <w:pStyle w:val="Heading2"/>
        <w:keepNext/>
        <w:spacing w:after="120" w:before="240"/>
      </w:pPr>
      <w:r>
        <w:rPr>
          <w:rFonts w:ascii="Calibri" w:cs="Calibri" w:eastAsia="Calibri" w:hAnsi="Calibri"/>
          <w:b/>
          <w:bCs/>
          <w:color w:val="102B3F"/>
          <w:sz w:val="26"/>
          <w:szCs w:val="26"/>
        </w:rPr>
        <w:t xml:space="preserve">11. Entire agreement and severability</w:t>
      </w:r>
    </w:p>
    <w:p>
      <w:pPr>
        <w:keepLines/>
        <w:spacing w:after="120" w:line="264"/>
        <w:jc w:val="both"/>
      </w:pPr>
      <w:r>
        <w:rPr>
          <w:rFonts w:ascii="Calibri" w:cs="Calibri" w:eastAsia="Calibri" w:hAnsi="Calibri"/>
          <w:sz w:val="22"/>
          <w:szCs w:val="22"/>
        </w:rPr>
        <w:t xml:space="preserve">This Deed, its signed property schedule, turnover record, and referenced release documents are the complete agreement for this absolute sale. An amendment or waiver must be in writing and signed by the affected parties. If a provision is unenforceable, it shall be limited to the minimum lawful extent and the remainder continues.</w:t>
      </w:r>
    </w:p>
    <w:p>
      <w:pPr>
        <w:pStyle w:val="Heading2"/>
        <w:keepNext/>
        <w:spacing w:after="120" w:before="240"/>
      </w:pPr>
      <w:r>
        <w:rPr>
          <w:rFonts w:ascii="Calibri" w:cs="Calibri" w:eastAsia="Calibri" w:hAnsi="Calibri"/>
          <w:b/>
          <w:bCs/>
          <w:color w:val="102B3F"/>
          <w:sz w:val="26"/>
          <w:szCs w:val="26"/>
        </w:rPr>
        <w:t xml:space="preserve">12. Counterparts and electronic signatures</w:t>
      </w:r>
    </w:p>
    <w:p>
      <w:pPr>
        <w:keepLines/>
        <w:spacing w:after="120" w:line="264"/>
        <w:jc w:val="both"/>
      </w:pPr>
      <w:r>
        <w:rPr>
          <w:rFonts w:ascii="Calibri" w:cs="Calibri" w:eastAsia="Calibri" w:hAnsi="Calibri"/>
          <w:sz w:val="22"/>
          <w:szCs w:val="22"/>
        </w:rPr>
        <w:t xml:space="preserve">The parties may sign in counterparts. Subject to Republic Act No. 8792 and applicable evidentiary and notarization rules, a reliable electronic signature and electronic copy may satisfy writing and signature requirements. Each party shall retain the final document and evidence of identity, authority, intent, integrity, payment, and delivery.</w:t>
      </w:r>
    </w:p>
    <w:p>
      <w:pPr>
        <w:keepNext/>
        <w:spacing w:after="260" w:before="360"/>
      </w:pPr>
      <w:r>
        <w:rPr>
          <w:rFonts w:ascii="Calibri" w:cs="Calibri" w:eastAsia="Calibri" w:hAnsi="Calibri"/>
          <w:b/>
          <w:bCs/>
          <w:sz w:val="22"/>
          <w:szCs w:val="22"/>
        </w:rPr>
        <w:t xml:space="preserve">IN WITNESS WHEREOF, the parties sign this document on the dates written below.</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Maria L. Santos</w:t>
            </w:r>
          </w:p>
          <w:p>
            <w:pPr>
              <w:spacing w:after="120"/>
            </w:pPr>
            <w:r>
              <w:rPr>
                <w:rFonts w:ascii="Calibri" w:cs="Calibri" w:eastAsia="Calibri" w:hAnsi="Calibri"/>
                <w:sz w:val="22"/>
                <w:szCs w:val="22"/>
              </w:rPr>
              <w:t xml:space="preserve">Signature: ______________________________</w:t>
            </w:r>
          </w:p>
          <w:p>
            <w:pPr>
              <w:spacing w:after="120"/>
            </w:pPr>
            <w:r>
              <w:rPr>
                <w:rFonts w:ascii="Calibri" w:cs="Calibri" w:eastAsia="Calibri" w:hAnsi="Calibri"/>
                <w:sz w:val="22"/>
                <w:szCs w:val="22"/>
              </w:rPr>
              <w:t xml:space="preserve">Seller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Roberto C. Bautista</w:t>
            </w:r>
          </w:p>
          <w:p>
            <w:pPr>
              <w:spacing w:after="120"/>
            </w:pPr>
            <w:r>
              <w:rPr>
                <w:rFonts w:ascii="Calibri" w:cs="Calibri" w:eastAsia="Calibri" w:hAnsi="Calibri"/>
                <w:sz w:val="22"/>
                <w:szCs w:val="22"/>
              </w:rPr>
              <w:t xml:space="preserve">Signature: ______________________________</w:t>
            </w:r>
          </w:p>
          <w:p>
            <w:pPr>
              <w:spacing w:after="120"/>
            </w:pPr>
            <w:r>
              <w:rPr>
                <w:rFonts w:ascii="Calibri" w:cs="Calibri" w:eastAsia="Calibri" w:hAnsi="Calibri"/>
                <w:sz w:val="22"/>
                <w:szCs w:val="22"/>
              </w:rPr>
              <w:t xml:space="preserve">Buyer, doing business as Sampaguita Printworks</w:t>
            </w:r>
          </w:p>
          <w:p>
            <w:r>
              <w:rPr>
                <w:rFonts w:ascii="Calibri" w:cs="Calibri" w:eastAsia="Calibri" w:hAnsi="Calibri"/>
                <w:sz w:val="22"/>
                <w:szCs w:val="22"/>
              </w:rPr>
              <w:t xml:space="preserve">Date: ______________________________</w:t>
            </w:r>
          </w:p>
        </w:tc>
      </w:tr>
    </w:tbl>
    <w:p>
      <w:pPr>
        <w:pStyle w:val="Heading2"/>
        <w:keepNext/>
        <w:spacing w:after="120" w:before="240"/>
      </w:pPr>
      <w:r>
        <w:rPr>
          <w:rFonts w:ascii="Calibri" w:cs="Calibri" w:eastAsia="Calibri" w:hAnsi="Calibri"/>
          <w:b/>
          <w:bCs/>
          <w:color w:val="102B3F"/>
          <w:sz w:val="26"/>
          <w:szCs w:val="26"/>
        </w:rPr>
        <w:t xml:space="preserve">ACKNOWLEDGMENT — FOR THE NOTARY PUBLIC TO COMPLETE</w:t>
      </w:r>
    </w:p>
    <w:p>
      <w:pPr>
        <w:keepLines/>
        <w:spacing w:after="120" w:line="264"/>
        <w:jc w:val="both"/>
      </w:pPr>
      <w:r>
        <w:rPr>
          <w:rFonts w:ascii="Calibri" w:cs="Calibri" w:eastAsia="Calibri" w:hAnsi="Calibri"/>
          <w:sz w:val="22"/>
          <w:szCs w:val="22"/>
        </w:rPr>
        <w:t xml:space="preserve">REPUBLIC OF THE PHILIPPINES )</w:t>
      </w:r>
    </w:p>
    <w:p>
      <w:pPr>
        <w:keepLines/>
        <w:spacing w:after="120" w:line="264"/>
        <w:jc w:val="both"/>
      </w:pPr>
      <w:r>
        <w:rPr>
          <w:rFonts w:ascii="Calibri" w:cs="Calibri" w:eastAsia="Calibri" w:hAnsi="Calibri"/>
          <w:sz w:val="22"/>
          <w:szCs w:val="22"/>
        </w:rPr>
        <w:t xml:space="preserve">Makati City ) S.S.</w:t>
      </w:r>
    </w:p>
    <w:p>
      <w:pPr>
        <w:keepLines/>
        <w:spacing w:after="120" w:line="264"/>
        <w:jc w:val="both"/>
      </w:pPr>
      <w:r>
        <w:rPr>
          <w:rFonts w:ascii="Calibri" w:cs="Calibri" w:eastAsia="Calibri" w:hAnsi="Calibri"/>
          <w:sz w:val="22"/>
          <w:szCs w:val="22"/>
        </w:rPr>
        <w:t xml:space="preserve">BEFORE ME, a duly commissioned Notary Public for and in the place above, on __________________, personally appeared the following, each identified through competent evidence of identity: Maria L. Santos — ID type and No. __________________, issued at and on __________________, valid until __________________; Roberto C. Bautista — ID type and No. __________________, issued at and on __________________, valid until __________________. They are known to me to be the same persons who executed this Deed of Absolute Sale of Personal Property, consisting of ____ (__) pages including this page, and they acknowledged that it is their free and voluntary act and deed.</w:t>
      </w:r>
    </w:p>
    <w:p>
      <w:pPr>
        <w:keepLines/>
        <w:spacing w:after="120" w:line="264"/>
        <w:jc w:val="both"/>
      </w:pPr>
      <w:r>
        <w:rPr>
          <w:rFonts w:ascii="Calibri" w:cs="Calibri" w:eastAsia="Calibri" w:hAnsi="Calibri"/>
          <w:sz w:val="22"/>
          <w:szCs w:val="22"/>
        </w:rPr>
        <w:t xml:space="preserve">WITNESS MY HAND AND SEAL on the date and at the place first written above.</w:t>
      </w:r>
    </w:p>
    <w:p>
      <w:pPr>
        <w:keepLines/>
        <w:spacing w:after="120" w:line="264"/>
        <w:jc w:val="both"/>
      </w:pPr>
      <w:r>
        <w:rPr>
          <w:rFonts w:ascii="Calibri" w:cs="Calibri" w:eastAsia="Calibri" w:hAnsi="Calibri"/>
          <w:sz w:val="22"/>
          <w:szCs w:val="22"/>
        </w:rPr>
        <w:t xml:space="preserve">NOTARY PUBLIC
Notary Public for __________________ until December 31, ______
Commission No.: __________________
Roll of Attorneys No.: __________________
PTR No. __________________, issued at and on __________________
IBP No. __________________
Office address: __________________
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Match government-issued IDs, legal names, addresses, entity records, signatory authority, and any spousal authority to the final deed before signing.</w:t>
      </w:r>
    </w:p>
    <w:p>
      <w:pPr>
        <w:pStyle w:val="ListParagraph"/>
        <w:keepNext/>
        <w:numPr>
          <w:ilvl w:val="0"/>
          <w:numId w:val="1"/>
        </w:numPr>
        <w:spacing w:after="120" w:line="264"/>
      </w:pPr>
      <w:r>
        <w:rPr>
          <w:rFonts w:ascii="Calibri" w:cs="Calibri" w:eastAsia="Calibri" w:hAnsi="Calibri"/>
          <w:sz w:val="22"/>
          <w:szCs w:val="22"/>
        </w:rPr>
        <w:t xml:space="preserve">Photograph the exact property and every serial, asset tag, component, accessory, defect, meter reading, and unique identifier; attach a signed property schedule when the description is long.</w:t>
      </w:r>
    </w:p>
    <w:p>
      <w:pPr>
        <w:pStyle w:val="ListParagraph"/>
        <w:keepNext/>
        <w:numPr>
          <w:ilvl w:val="0"/>
          <w:numId w:val="1"/>
        </w:numPr>
        <w:spacing w:after="120" w:line="264"/>
      </w:pPr>
      <w:r>
        <w:rPr>
          <w:rFonts w:ascii="Calibri" w:cs="Calibri" w:eastAsia="Calibri" w:hAnsi="Calibri"/>
          <w:sz w:val="22"/>
          <w:szCs w:val="22"/>
        </w:rPr>
        <w:t xml:space="preserve">Retain the PPSR search criteria and result and check invoices, possession, repair records, court process, and any other asset-specific record for claims that a PPSR search may not reveal.</w:t>
      </w:r>
    </w:p>
    <w:p>
      <w:pPr>
        <w:pStyle w:val="ListParagraph"/>
        <w:keepNext/>
        <w:numPr>
          <w:ilvl w:val="0"/>
          <w:numId w:val="1"/>
        </w:numPr>
        <w:spacing w:after="120" w:line="264"/>
      </w:pPr>
      <w:r>
        <w:rPr>
          <w:rFonts w:ascii="Calibri" w:cs="Calibri" w:eastAsia="Calibri" w:hAnsi="Calibri"/>
          <w:sz w:val="22"/>
          <w:szCs w:val="22"/>
        </w:rPr>
        <w:t xml:space="preserve">Retain the Seller's invoice, receipt, import, inheritance, donation, or other provenance record and evidence that no additional owner consent is required.</w:t>
      </w:r>
    </w:p>
    <w:p>
      <w:pPr>
        <w:pStyle w:val="ListParagraph"/>
        <w:keepNext/>
        <w:numPr>
          <w:ilvl w:val="0"/>
          <w:numId w:val="1"/>
        </w:numPr>
        <w:spacing w:after="120" w:line="264"/>
      </w:pPr>
      <w:r>
        <w:rPr>
          <w:rFonts w:ascii="Calibri" w:cs="Calibri" w:eastAsia="Calibri" w:hAnsi="Calibri"/>
          <w:sz w:val="22"/>
          <w:szCs w:val="22"/>
        </w:rPr>
        <w:t xml:space="preserve">Retain proof of the full ₱850,000.00 payment and a dated turnover record signed after inspection; the record should reconcile the deed, identifiers, condition, included items, keys/credentials, records, and delivery event.</w:t>
      </w:r>
    </w:p>
    <w:p>
      <w:pPr>
        <w:pStyle w:val="ListParagraph"/>
        <w:keepNext/>
        <w:numPr>
          <w:ilvl w:val="0"/>
          <w:numId w:val="1"/>
        </w:numPr>
        <w:spacing w:after="120" w:line="264"/>
      </w:pPr>
      <w:r>
        <w:rPr>
          <w:rFonts w:ascii="Calibri" w:cs="Calibri" w:eastAsia="Calibri" w:hAnsi="Calibri"/>
          <w:sz w:val="22"/>
          <w:szCs w:val="22"/>
        </w:rPr>
        <w:t xml:space="preserve">Reassess consumer-law coverage if the Seller is acting in business or the Buyer principally acquires for personal, family, or household use.</w:t>
      </w:r>
    </w:p>
    <w:p>
      <w:pPr>
        <w:pStyle w:val="ListParagraph"/>
        <w:keepNext/>
        <w:numPr>
          <w:ilvl w:val="0"/>
          <w:numId w:val="1"/>
        </w:numPr>
        <w:spacing w:after="120" w:line="264"/>
      </w:pPr>
      <w:r>
        <w:rPr>
          <w:rFonts w:ascii="Calibri" w:cs="Calibri" w:eastAsia="Calibri" w:hAnsi="Calibri"/>
          <w:sz w:val="22"/>
          <w:szCs w:val="22"/>
        </w:rPr>
        <w:t xml:space="preserve">Confirm again at turnover that the property contains no storage, account, tracking, remote-management, or credential-bearing component.</w:t>
      </w:r>
    </w:p>
    <w:p>
      <w:pPr>
        <w:pStyle w:val="ListParagraph"/>
        <w:keepNext/>
        <w:numPr>
          <w:ilvl w:val="0"/>
          <w:numId w:val="1"/>
        </w:numPr>
        <w:spacing w:after="120" w:line="264"/>
      </w:pPr>
      <w:r>
        <w:rPr>
          <w:rFonts w:ascii="Calibri" w:cs="Calibri" w:eastAsia="Calibri" w:hAnsi="Calibri"/>
          <w:sz w:val="22"/>
          <w:szCs w:val="22"/>
        </w:rPr>
        <w:t xml:space="preserve">Have a Philippine tax professional confirm invoicing, VAT, income-tax, withholding, bookkeeping, and any asset- or party-specific transfer tax or filing; do not assume the real-property DST rule applies to this ordinary movable-property deed.</w:t>
      </w:r>
    </w:p>
    <w:p>
      <w:pPr>
        <w:pStyle w:val="ListParagraph"/>
        <w:keepNext w:val="false"/>
        <w:numPr>
          <w:ilvl w:val="0"/>
          <w:numId w:val="1"/>
        </w:numPr>
        <w:spacing w:after="120" w:line="264"/>
      </w:pPr>
      <w:r>
        <w:rPr>
          <w:rFonts w:ascii="Calibri" w:cs="Calibri" w:eastAsia="Calibri" w:hAnsi="Calibri"/>
          <w:sz w:val="22"/>
          <w:szCs w:val="22"/>
        </w:rPr>
        <w:t xml:space="preserve">Appear before a duly commissioned notary with the complete instrument and valid identification; follow the notary's signing directions and retain the completed acknowledgment and copy.</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2026-08-29 onward, subject to the recorded review cycle | Independent Philippine lawyer review pending | Last legal check 2026-10-01 | Next review due 2027-01-01</w:t>
      </w:r>
    </w:p>
    <w:p>
      <w:pPr>
        <w:keepNext/>
        <w:spacing w:after="60" w:before="100"/>
      </w:pPr>
      <w:r>
        <w:rPr>
          <w:rFonts w:ascii="Calibri" w:cs="Calibri" w:eastAsia="Calibri" w:hAnsi="Calibri"/>
          <w:b/>
          <w:bCs/>
          <w:sz w:val="18"/>
          <w:szCs w:val="18"/>
        </w:rPr>
        <w:t xml:space="preserve">Civil Code of the Philippines (Republic Act No. 386) - Arts. 1458–1637, especially determinate object and price, authority to transfer, delivery and passage of ownership, risk, inspection, acceptance, eviction, hidden defects, and buyer/seller remedies (checked 2026-08-29)</w:t>
      </w:r>
    </w:p>
    <w:p>
      <w:pPr>
        <w:spacing w:after="120"/>
      </w:pPr>
      <w:hyperlink w:history="1" r:id="rIddoyie-zumaiaf3v0j1qdw">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Consumer Act of the Philippines (Republic Act No. 7394) - Arts. 66–73 on consumer-product warranties and remedies, plus applicable product-safety, labeling, and deceptive-sales rules (checked 2026-08-29)</w:t>
      </w:r>
    </w:p>
    <w:p>
      <w:pPr>
        <w:spacing w:after="120"/>
      </w:pPr>
      <w:hyperlink w:history="1" r:id="rIdyv33hsgxojbq538qnd2yf">
        <w:r>
          <w:rPr>
            <w:rFonts w:ascii="Calibri" w:cs="Calibri" w:eastAsia="Calibri" w:hAnsi="Calibri"/>
            <w:color w:val="315B75"/>
            <w:sz w:val="17"/>
            <w:szCs w:val="17"/>
            <w:u w:val="single"/>
          </w:rPr>
          <w:t xml:space="preserve">https://lawphil.net/statutes/repacts/ra1992/ra_7394_1992.html</w:t>
        </w:r>
      </w:hyperlink>
    </w:p>
    <w:p>
      <w:pPr>
        <w:keepNext/>
        <w:spacing w:after="60" w:before="100"/>
      </w:pPr>
      <w:r>
        <w:rPr>
          <w:rFonts w:ascii="Calibri" w:cs="Calibri" w:eastAsia="Calibri" w:hAnsi="Calibri"/>
          <w:b/>
          <w:bCs/>
          <w:sz w:val="18"/>
          <w:szCs w:val="18"/>
        </w:rPr>
        <w:t xml:space="preserve">Personal Property Security Act (Republic Act No. 11057) - Secs. 9, 17, 20–21, and 26–39 on continuity, priority, buyer exceptions, registration, searches, and termination of security-interest notices (checked 2026-08-29)</w:t>
      </w:r>
    </w:p>
    <w:p>
      <w:pPr>
        <w:spacing w:after="120"/>
      </w:pPr>
      <w:hyperlink w:history="1" r:id="rId3fupjh3rgyeqfyfy2zcfr">
        <w:r>
          <w:rPr>
            <w:rFonts w:ascii="Calibri" w:cs="Calibri" w:eastAsia="Calibri" w:hAnsi="Calibri"/>
            <w:color w:val="315B75"/>
            <w:sz w:val="17"/>
            <w:szCs w:val="17"/>
            <w:u w:val="single"/>
          </w:rPr>
          <w:t xml:space="preserve">https://lawphil.net/statutes/repacts/ra2018/ra_11057_2018.html</w:t>
        </w:r>
      </w:hyperlink>
    </w:p>
    <w:p>
      <w:pPr>
        <w:keepNext/>
        <w:spacing w:after="60" w:before="100"/>
      </w:pPr>
      <w:r>
        <w:rPr>
          <w:rFonts w:ascii="Calibri" w:cs="Calibri" w:eastAsia="Calibri" w:hAnsi="Calibri"/>
          <w:b/>
          <w:bCs/>
          <w:sz w:val="18"/>
          <w:szCs w:val="18"/>
        </w:rPr>
        <w:t xml:space="preserve">Philippines Personal Property Security Registry - Operational online registry for searching and managing notices of security interests in personal property (checked 2026-08-29)</w:t>
      </w:r>
    </w:p>
    <w:p>
      <w:pPr>
        <w:spacing w:after="120"/>
      </w:pPr>
      <w:hyperlink w:history="1" r:id="rIdh9h12vxenqliacagavotd">
        <w:r>
          <w:rPr>
            <w:rFonts w:ascii="Calibri" w:cs="Calibri" w:eastAsia="Calibri" w:hAnsi="Calibri"/>
            <w:color w:val="315B75"/>
            <w:sz w:val="17"/>
            <w:szCs w:val="17"/>
            <w:u w:val="single"/>
          </w:rPr>
          <w:t xml:space="preserve">https://ppsr.lra.gov.ph/about-ppsr/</w:t>
        </w:r>
      </w:hyperlink>
    </w:p>
    <w:p>
      <w:pPr>
        <w:keepNext/>
        <w:spacing w:after="60" w:before="100"/>
      </w:pPr>
      <w:r>
        <w:rPr>
          <w:rFonts w:ascii="Calibri" w:cs="Calibri" w:eastAsia="Calibri" w:hAnsi="Calibri"/>
          <w:b/>
          <w:bCs/>
          <w:sz w:val="18"/>
          <w:szCs w:val="18"/>
        </w:rPr>
        <w:t xml:space="preserve">Internet Transactions Act of 2023 (Republic Act No. 11967) - Online-consumer contract, disclosure, warranty, repair, replacement, refund, and platform obligations where the transaction is online (checked 2026-08-29)</w:t>
      </w:r>
    </w:p>
    <w:p>
      <w:pPr>
        <w:spacing w:after="120"/>
      </w:pPr>
      <w:hyperlink w:history="1" r:id="rIds0_oyfs_6oyk0yz82o62r">
        <w:r>
          <w:rPr>
            <w:rFonts w:ascii="Calibri" w:cs="Calibri" w:eastAsia="Calibri" w:hAnsi="Calibri"/>
            <w:color w:val="315B75"/>
            <w:sz w:val="17"/>
            <w:szCs w:val="17"/>
            <w:u w:val="single"/>
          </w:rPr>
          <w:t xml:space="preserve">https://lawphil.net/statutes/repacts/ra2023/ra_11967_2023.html</w:t>
        </w:r>
      </w:hyperlink>
    </w:p>
    <w:p>
      <w:pPr>
        <w:keepNext/>
        <w:spacing w:after="60" w:before="100"/>
      </w:pPr>
      <w:r>
        <w:rPr>
          <w:rFonts w:ascii="Calibri" w:cs="Calibri" w:eastAsia="Calibri" w:hAnsi="Calibri"/>
          <w:b/>
          <w:bCs/>
          <w:sz w:val="18"/>
          <w:szCs w:val="18"/>
        </w:rPr>
        <w:t xml:space="preserve">Electronic Commerce Act of 2000 (Republic Act No. 8792) - Secs. 6–8 on electronic data messages, documents, and signatures (checked 2026-08-29)</w:t>
      </w:r>
    </w:p>
    <w:p>
      <w:pPr>
        <w:spacing w:after="120"/>
      </w:pPr>
      <w:hyperlink w:history="1" r:id="rIdj0ks3rbft-zzexmxsq0-n">
        <w:r>
          <w:rPr>
            <w:rFonts w:ascii="Calibri" w:cs="Calibri" w:eastAsia="Calibri" w:hAnsi="Calibri"/>
            <w:color w:val="315B75"/>
            <w:sz w:val="17"/>
            <w:szCs w:val="17"/>
            <w:u w:val="single"/>
          </w:rPr>
          <w:t xml:space="preserve">https://lawphil.net/statutes/repacts/ra2000/ra_8792_2000.html</w:t>
        </w:r>
      </w:hyperlink>
    </w:p>
    <w:p>
      <w:pPr>
        <w:keepNext/>
        <w:spacing w:after="60" w:before="100"/>
      </w:pPr>
      <w:r>
        <w:rPr>
          <w:rFonts w:ascii="Calibri" w:cs="Calibri" w:eastAsia="Calibri" w:hAnsi="Calibri"/>
          <w:b/>
          <w:bCs/>
          <w:sz w:val="18"/>
          <w:szCs w:val="18"/>
        </w:rPr>
        <w:t xml:space="preserve">Data Privacy Act of 2012 (Republic Act No. 10173) - Lawful processing and reasonable security for personal data remaining on computers, phones, storage devices, and other sold electronics (checked 2026-08-29)</w:t>
      </w:r>
    </w:p>
    <w:p>
      <w:pPr>
        <w:spacing w:after="120"/>
      </w:pPr>
      <w:hyperlink w:history="1" r:id="rIdz9p55ok0f9likgzph5epw">
        <w:r>
          <w:rPr>
            <w:rFonts w:ascii="Calibri" w:cs="Calibri" w:eastAsia="Calibri" w:hAnsi="Calibri"/>
            <w:color w:val="315B75"/>
            <w:sz w:val="17"/>
            <w:szCs w:val="17"/>
            <w:u w:val="single"/>
          </w:rPr>
          <w:t xml:space="preserve">https://lawphil.net/statutes/repacts/ra2012/ra_10173_2012.html</w:t>
        </w:r>
      </w:hyperlink>
    </w:p>
    <w:p>
      <w:pPr>
        <w:keepNext/>
        <w:spacing w:after="60" w:before="100"/>
      </w:pPr>
      <w:r>
        <w:rPr>
          <w:rFonts w:ascii="Calibri" w:cs="Calibri" w:eastAsia="Calibri" w:hAnsi="Calibri"/>
          <w:b/>
          <w:bCs/>
          <w:sz w:val="18"/>
          <w:szCs w:val="18"/>
        </w:rPr>
        <w:t xml:space="preserve">Family Code of the Philippines (Executive Order No. 209) - Arts. 75, 91–93, 96, 103, 109, 116, 124, and 130: property regimes, exclusive property, presumption of community or conjugal property, spouse's written consent to a disposition (otherwise void), and liquidation before disposition after the marriage ends (checked 2026-10-01)</w:t>
      </w:r>
    </w:p>
    <w:p>
      <w:pPr>
        <w:spacing w:after="120"/>
      </w:pPr>
      <w:hyperlink w:history="1" r:id="rId4uebagiiryvb8co0xthoa">
        <w:r>
          <w:rPr>
            <w:rFonts w:ascii="Calibri" w:cs="Calibri" w:eastAsia="Calibri" w:hAnsi="Calibri"/>
            <w:color w:val="315B75"/>
            <w:sz w:val="17"/>
            <w:szCs w:val="17"/>
            <w:u w:val="single"/>
          </w:rPr>
          <w:t xml:space="preserve">https://lawphil.net/executive/execord/eo1987/eo_209_1987.html</w:t>
        </w:r>
      </w:hyperlink>
    </w:p>
    <w:p>
      <w:pPr>
        <w:keepNext/>
        <w:spacing w:after="60" w:before="100"/>
      </w:pPr>
      <w:r>
        <w:rPr>
          <w:rFonts w:ascii="Calibri" w:cs="Calibri" w:eastAsia="Calibri" w:hAnsi="Calibri"/>
          <w:b/>
          <w:bCs/>
          <w:sz w:val="18"/>
          <w:szCs w:val="18"/>
        </w:rPr>
        <w:t xml:space="preserve">Juasing Hardware v. Mendoza, G.R. No. L-55687 (July 30, 1982) - A sole proprietorship has no juridical personality separate from its owner; the proprietor, not the trade name, is the party (checked 2026-10-01)</w:t>
      </w:r>
    </w:p>
    <w:p>
      <w:pPr>
        <w:spacing w:after="120"/>
      </w:pPr>
      <w:hyperlink w:history="1" r:id="rIdpv6gqzbdqaol8ew6osdfe">
        <w:r>
          <w:rPr>
            <w:rFonts w:ascii="Calibri" w:cs="Calibri" w:eastAsia="Calibri" w:hAnsi="Calibri"/>
            <w:color w:val="315B75"/>
            <w:sz w:val="17"/>
            <w:szCs w:val="17"/>
            <w:u w:val="single"/>
          </w:rPr>
          <w:t xml:space="preserve">https://lawphil.net/judjuris/juri1982/jul1982/gr_l-55687_1982.html</w:t>
        </w:r>
      </w:hyperlink>
    </w:p>
    <w:p>
      <w:pPr>
        <w:keepNext/>
        <w:spacing w:after="60" w:before="100"/>
      </w:pPr>
      <w:r>
        <w:rPr>
          <w:rFonts w:ascii="Calibri" w:cs="Calibri" w:eastAsia="Calibri" w:hAnsi="Calibri"/>
          <w:b/>
          <w:bCs/>
          <w:sz w:val="18"/>
          <w:szCs w:val="18"/>
        </w:rPr>
        <w:t xml:space="preserve">2004 Rules on Notarial Practice (A.M. No. 02-8-13-SC), as amended March 4, 2025 - Rule II Sec. 1 (acknowledgment; competent evidence of identity; a representative's authority to sign in that capacity); Rule VIII Sec. 2 (certificate states the place and expiry of the commission). Amendments: https://sc.judiciary.gov.ph/wp-content/uploads/2025/06/Amended-2004-Notarial-Rules.pdf (checked 2026-10-01)</w:t>
      </w:r>
    </w:p>
    <w:p>
      <w:pPr>
        <w:spacing w:after="120"/>
      </w:pPr>
      <w:hyperlink w:history="1" r:id="rId60psllb4x59syjftid-q-">
        <w:r>
          <w:rPr>
            <w:rFonts w:ascii="Calibri" w:cs="Calibri" w:eastAsia="Calibri" w:hAnsi="Calibri"/>
            <w:color w:val="315B75"/>
            <w:sz w:val="17"/>
            <w:szCs w:val="17"/>
            <w:u w:val="single"/>
          </w:rPr>
          <w:t xml:space="preserve">https://sc.judiciary.gov.ph/wp-content/uploads/2022/08/02-08-13-SC-1.pdf</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oyie-zumaiaf3v0j1qdw" Type="http://schemas.openxmlformats.org/officeDocument/2006/relationships/hyperlink" Target="https://lawphil.net/statutes/repacts/ra1949/ra_386_1949.html" TargetMode="External"/><Relationship Id="rIdyv33hsgxojbq538qnd2yf" Type="http://schemas.openxmlformats.org/officeDocument/2006/relationships/hyperlink" Target="https://lawphil.net/statutes/repacts/ra1992/ra_7394_1992.html" TargetMode="External"/><Relationship Id="rId3fupjh3rgyeqfyfy2zcfr" Type="http://schemas.openxmlformats.org/officeDocument/2006/relationships/hyperlink" Target="https://lawphil.net/statutes/repacts/ra2018/ra_11057_2018.html" TargetMode="External"/><Relationship Id="rIdh9h12vxenqliacagavotd" Type="http://schemas.openxmlformats.org/officeDocument/2006/relationships/hyperlink" Target="https://ppsr.lra.gov.ph/about-ppsr/" TargetMode="External"/><Relationship Id="rIds0_oyfs_6oyk0yz82o62r" Type="http://schemas.openxmlformats.org/officeDocument/2006/relationships/hyperlink" Target="https://lawphil.net/statutes/repacts/ra2023/ra_11967_2023.html" TargetMode="External"/><Relationship Id="rIdj0ks3rbft-zzexmxsq0-n" Type="http://schemas.openxmlformats.org/officeDocument/2006/relationships/hyperlink" Target="https://lawphil.net/statutes/repacts/ra2000/ra_8792_2000.html" TargetMode="External"/><Relationship Id="rIdz9p55ok0f9likgzph5epw" Type="http://schemas.openxmlformats.org/officeDocument/2006/relationships/hyperlink" Target="https://lawphil.net/statutes/repacts/ra2012/ra_10173_2012.html" TargetMode="External"/><Relationship Id="rId4uebagiiryvb8co0xthoa" Type="http://schemas.openxmlformats.org/officeDocument/2006/relationships/hyperlink" Target="https://lawphil.net/executive/execord/eo1987/eo_209_1987.html" TargetMode="External"/><Relationship Id="rIdpv6gqzbdqaol8ew6osdfe" Type="http://schemas.openxmlformats.org/officeDocument/2006/relationships/hyperlink" Target="https://lawphil.net/judjuris/juri1982/jul1982/gr_l-55687_1982.html" TargetMode="External"/><Relationship Id="rId60psllb4x59syjftid-q-" Type="http://schemas.openxmlformats.org/officeDocument/2006/relationships/hyperlink" Target="https://sc.judiciary.gov.ph/wp-content/uploads/2022/08/02-08-13-SC-1.pdf"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Absolute Sale of Personal Property</dc:title>
  <dc:creator>LAW.PH</dc:creator>
  <dc:description>Free sample of the Deed of Absolute Sale — Personal Property from LAW.PH, with fictional details</dc:description>
  <cp:lastModifiedBy>Un-named</cp:lastModifiedBy>
  <cp:revision>1</cp:revision>
  <dcterms:created xsi:type="dcterms:W3CDTF">2026-10-02T05:29:58.372Z</dcterms:created>
  <dcterms:modified xsi:type="dcterms:W3CDTF">2026-10-02T05:29:58.372Z</dcterms:modified>
</cp:coreProperties>
</file>

<file path=docProps/custom.xml><?xml version="1.0" encoding="utf-8"?>
<Properties xmlns="http://schemas.openxmlformats.org/officeDocument/2006/custom-properties" xmlns:vt="http://schemas.openxmlformats.org/officeDocument/2006/docPropsVTypes"/>
</file>