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DEED OF ABSOLUTE SALE</w:t>
      </w:r>
    </w:p>
    <w:p>
      <w:pPr>
        <w:spacing w:after="160"/>
        <w:jc w:val="center"/>
      </w:pPr>
      <w:r>
        <w:rPr>
          <w:rFonts w:ascii="Calibri" w:cs="Calibri" w:eastAsia="Calibri" w:hAnsi="Calibri"/>
          <w:color w:val="566674"/>
          <w:sz w:val="18"/>
          <w:szCs w:val="18"/>
        </w:rPr>
        <w:t xml:space="preserve">Real Property · Republic of the Philippines</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Independent Philippine real-property lawyer review pending</w:t>
      </w:r>
    </w:p>
    <w:p>
      <w:pPr>
        <w:keepLines/>
        <w:spacing w:after="120" w:line="264"/>
        <w:jc w:val="both"/>
      </w:pPr>
      <w:r>
        <w:rPr>
          <w:rFonts w:ascii="Calibri" w:cs="Calibri" w:eastAsia="Calibri" w:hAnsi="Calibri"/>
          <w:sz w:val="22"/>
          <w:szCs w:val="22"/>
        </w:rPr>
        <w:t xml:space="preserve">This Deed of Absolute Sale (the “Deed”) is made and acknowledged on August 31, 2026 by Maria Elena Santos, of legal age, Filipino, married to Carlos Reyes Santos, with TIN 123-456-789-000, residing at 100 Ayala Avenue, Barangay San Lorenzo, Makati City 1223 (the “Seller”), in favor of Roberto Dela Cruz, of legal age, Filipino, single, with TIN 234-567-890-000, residing at 18 Jupiter Street, Barangay Bel-Air, Makati City 1209 (the “Buyer”). The property forms part of the absolute community property of the Seller and Carlos Reyes Santos, who gives written marital consent to this sale by signing below (Family Code, Articles 96 and 124).</w:t>
      </w:r>
    </w:p>
    <w:p>
      <w:pPr>
        <w:keepLines/>
        <w:spacing w:after="120" w:line="264"/>
        <w:jc w:val="both"/>
      </w:pPr>
      <w:r>
        <w:rPr>
          <w:rFonts w:ascii="Calibri" w:cs="Calibri" w:eastAsia="Calibri" w:hAnsi="Calibri"/>
          <w:sz w:val="22"/>
          <w:szCs w:val="22"/>
        </w:rPr>
        <w:t xml:space="preserve">For the full cleared consideration and on the verified facts stated below, the Seller hereby absolutely SELLS, TRANSFERS, and CONVEYS the identified property to the Buyer, together with the included improvements, appurtenances, and rights. The parties do not reserve ownership and do not intend an installment contract to sell, option, donation, or transfer of disputed rights.</w:t>
      </w:r>
    </w:p>
    <w:p>
      <w:pPr>
        <w:pStyle w:val="Heading2"/>
        <w:keepNext/>
        <w:spacing w:after="120" w:before="240"/>
      </w:pPr>
      <w:r>
        <w:rPr>
          <w:rFonts w:ascii="Calibri" w:cs="Calibri" w:eastAsia="Calibri" w:hAnsi="Calibri"/>
          <w:b/>
          <w:bCs/>
          <w:color w:val="102B3F"/>
          <w:sz w:val="26"/>
          <w:szCs w:val="26"/>
        </w:rPr>
        <w:t xml:space="preserve">1. Registered property conveyed</w:t>
      </w:r>
    </w:p>
    <w:p>
      <w:pPr>
        <w:keepLines/>
        <w:spacing w:after="120" w:line="264"/>
        <w:jc w:val="both"/>
      </w:pPr>
      <w:r>
        <w:rPr>
          <w:rFonts w:ascii="Calibri" w:cs="Calibri" w:eastAsia="Calibri" w:hAnsi="Calibri"/>
          <w:sz w:val="22"/>
          <w:szCs w:val="22"/>
        </w:rPr>
        <w:t xml:space="preserve">The property is the house and lot at Lot 8, Block 3, Sampaguita Village, Barangay San Antonio, Makati City, covered by TCT No. 006-2024001234, Registry of Deeds of Makati City, registered in the name of Maria Elena Santos, married to Carlos Reyes Santos. Land area: 180 square meters. Floor or unit area: 142.5 square meters. Tax declarations: Land TD No. D-001-2025-112233; Improvement TD No. D-001-2025-112234.</w:t>
      </w:r>
    </w:p>
    <w:p>
      <w:pPr>
        <w:keepLines/>
        <w:spacing w:after="120" w:line="264"/>
        <w:jc w:val="both"/>
      </w:pPr>
      <w:r>
        <w:rPr>
          <w:rFonts w:ascii="Calibri" w:cs="Calibri" w:eastAsia="Calibri" w:hAnsi="Calibri"/>
          <w:sz w:val="22"/>
          <w:szCs w:val="22"/>
        </w:rPr>
        <w:t xml:space="preserve">Technical description: Lot 8, Block 3, Psd-00-123456, with the complete bearings, distances, tie point, adjoining lots, area, and survey annotations copied in Schedule A exactly from the current certified TCT</w:t>
      </w:r>
    </w:p>
    <w:p>
      <w:pPr>
        <w:keepLines/>
        <w:spacing w:after="120" w:line="264"/>
        <w:jc w:val="both"/>
      </w:pPr>
      <w:r>
        <w:rPr>
          <w:rFonts w:ascii="Calibri" w:cs="Calibri" w:eastAsia="Calibri" w:hAnsi="Calibri"/>
          <w:sz w:val="22"/>
          <w:szCs w:val="22"/>
        </w:rPr>
        <w:t xml:space="preserve">Included improvements, fixtures, and appurtenances: Two-storey residential house, perimeter wall, gate, fixed cabinetry, installed lighting, plumbing fixtures, and split-type air-conditioners itemized in Schedule A; loose furniture is excluded.</w:t>
      </w:r>
    </w:p>
    <w:p>
      <w:pPr>
        <w:pStyle w:val="Heading2"/>
        <w:keepNext/>
        <w:spacing w:after="120" w:before="240"/>
      </w:pPr>
      <w:r>
        <w:rPr>
          <w:rFonts w:ascii="Calibri" w:cs="Calibri" w:eastAsia="Calibri" w:hAnsi="Calibri"/>
          <w:b/>
          <w:bCs/>
          <w:color w:val="102B3F"/>
          <w:sz w:val="26"/>
          <w:szCs w:val="26"/>
        </w:rPr>
        <w:t xml:space="preserve">2. Title, authority, and disclosed exceptions</w:t>
      </w:r>
    </w:p>
    <w:p>
      <w:pPr>
        <w:keepLines/>
        <w:spacing w:after="120" w:line="264"/>
        <w:jc w:val="both"/>
      </w:pPr>
      <w:r>
        <w:rPr>
          <w:rFonts w:ascii="Calibri" w:cs="Calibri" w:eastAsia="Calibri" w:hAnsi="Calibri"/>
          <w:sz w:val="22"/>
          <w:szCs w:val="22"/>
        </w:rPr>
        <w:t xml:space="preserve">The current certified-title and Registry search is dated August 28, 2026. Registered-owner and Seller-capacity evidence: Philippine passport, PSA marriage certificate, current certified TCT, owner's duplicate, Registry search, and spouse conformity were checked against originals before signing. The required consenting spouse is Carlos Reyes Santos.</w:t>
      </w:r>
    </w:p>
    <w:p>
      <w:pPr>
        <w:keepLines/>
        <w:spacing w:after="120" w:line="264"/>
        <w:jc w:val="both"/>
      </w:pPr>
      <w:r>
        <w:rPr>
          <w:rFonts w:ascii="Calibri" w:cs="Calibri" w:eastAsia="Calibri" w:hAnsi="Calibri"/>
          <w:sz w:val="22"/>
          <w:szCs w:val="22"/>
        </w:rPr>
        <w:t xml:space="preserve">Buyer eligibility and authority evidence: Roberto Dela Cruz's current Philippine passport and PSA citizenship and civil-status records were independently verified before signing and will accompany the registration information. The parties record the eligibility route as filipino individual.</w:t>
      </w:r>
    </w:p>
    <w:p>
      <w:pPr>
        <w:keepLines/>
        <w:spacing w:after="120" w:line="264"/>
        <w:jc w:val="both"/>
      </w:pPr>
      <w:r>
        <w:rPr>
          <w:rFonts w:ascii="Calibri" w:cs="Calibri" w:eastAsia="Calibri" w:hAnsi="Calibri"/>
          <w:sz w:val="22"/>
          <w:szCs w:val="22"/>
        </w:rPr>
        <w:t xml:space="preserve">Permitted non-monetary title exceptions: Subdivision restrictions and utility easements appearing on the current certified TCT and copied exactly in Schedule B; no monetary lien or adverse claim remains. Monetary lien status: none. No monetary lien requiring release was identified after the stated current searches.</w:t>
      </w:r>
    </w:p>
    <w:p>
      <w:pPr>
        <w:keepLines/>
        <w:spacing w:after="120" w:line="264"/>
        <w:jc w:val="both"/>
      </w:pPr>
      <w:r>
        <w:rPr>
          <w:rFonts w:ascii="Calibri" w:cs="Calibri" w:eastAsia="Calibri" w:hAnsi="Calibri"/>
          <w:sz w:val="22"/>
          <w:szCs w:val="22"/>
        </w:rPr>
        <w:t xml:space="preserve">Possession and occupants: Occupied only by the Seller and immediate family, who will vacate and deliver every key at closing; no tenant, lessee, caretaker, adverse possessor, or unrecorded occupancy arrangement was found after inquiry. Taxes, dues, and utilities: Real-property taxes paid through 2026; village dues reconciled through August 2026; utility meters will be read and settled at the signed turnover cutoff; final written clearances are in the closing package.</w:t>
      </w:r>
    </w:p>
    <w:p>
      <w:pPr>
        <w:pStyle w:val="Heading2"/>
        <w:keepNext/>
        <w:spacing w:after="120" w:before="240"/>
      </w:pPr>
      <w:r>
        <w:rPr>
          <w:rFonts w:ascii="Calibri" w:cs="Calibri" w:eastAsia="Calibri" w:hAnsi="Calibri"/>
          <w:b/>
          <w:bCs/>
          <w:color w:val="102B3F"/>
          <w:sz w:val="26"/>
          <w:szCs w:val="26"/>
        </w:rPr>
        <w:t xml:space="preserve">3. Price, full payment, and truthful receipt</w:t>
      </w:r>
    </w:p>
    <w:p>
      <w:pPr>
        <w:keepLines/>
        <w:spacing w:after="120" w:line="264"/>
        <w:jc w:val="both"/>
      </w:pPr>
      <w:r>
        <w:rPr>
          <w:rFonts w:ascii="Calibri" w:cs="Calibri" w:eastAsia="Calibri" w:hAnsi="Calibri"/>
          <w:sz w:val="22"/>
          <w:szCs w:val="22"/>
        </w:rPr>
        <w:t xml:space="preserve">Total purchase price: PHP 6,000,000.00. Deposit or earnest money credited: PHP 600,000.00. Remaining amount cleared at or before closing: PHP 5,400,000.00. Payment status: cleared concurrently through escrow.</w:t>
      </w:r>
    </w:p>
    <w:p>
      <w:pPr>
        <w:keepLines/>
        <w:spacing w:after="120" w:line="264"/>
        <w:jc w:val="both"/>
      </w:pPr>
      <w:r>
        <w:rPr>
          <w:rFonts w:ascii="Calibri" w:cs="Calibri" w:eastAsia="Calibri" w:hAnsi="Calibri"/>
          <w:sz w:val="22"/>
          <w:szCs w:val="22"/>
        </w:rPr>
        <w:t xml:space="preserve">Payment and evidence: PHP 600,000 deposit already cleared under receipt CR-2026-0815; PHP 5,400,000 will be released by the independent closing bank only after simultaneous verification of the complete deed, original owner's duplicate, spouse signatures, no-lien search, tax clearances, and turnover package. Receipt reference: Closing receipt CR-2026-0831 and bank escrow reference BPI-ESC-880122. The Seller acknowledges receipt from the Buyer of the full purchase price of PHP 6,000,000.00, receipt of which in full is hereby acknowledged. The parties sign and acknowledge this Deed only after the full price has cleared; this Deed is not an open receipt, promise of later installment payment, or acknowledgment of unverified funds.</w:t>
      </w:r>
    </w:p>
    <w:p>
      <w:pPr>
        <w:pStyle w:val="Heading2"/>
        <w:keepNext/>
        <w:spacing w:after="120" w:before="240"/>
      </w:pPr>
      <w:r>
        <w:rPr>
          <w:rFonts w:ascii="Calibri" w:cs="Calibri" w:eastAsia="Calibri" w:hAnsi="Calibri"/>
          <w:b/>
          <w:bCs/>
          <w:color w:val="102B3F"/>
          <w:sz w:val="26"/>
          <w:szCs w:val="26"/>
        </w:rPr>
        <w:t xml:space="preserve">4. Absolute conveyance and delivery</w:t>
      </w:r>
    </w:p>
    <w:p>
      <w:pPr>
        <w:keepLines/>
        <w:spacing w:after="120" w:line="264"/>
        <w:jc w:val="both"/>
      </w:pPr>
      <w:r>
        <w:rPr>
          <w:rFonts w:ascii="Calibri" w:cs="Calibri" w:eastAsia="Calibri" w:hAnsi="Calibri"/>
          <w:sz w:val="22"/>
          <w:szCs w:val="22"/>
        </w:rPr>
        <w:t xml:space="preserve">The parties intend execution and acknowledgment of this complete public instrument to constitute constructive delivery under Article 1498 of the Civil Code and a present absolute conveyance between them. Registration remains the operative act to convey or affect registered land as to third persons under Presidential Decree No. 1529.</w:t>
      </w:r>
    </w:p>
    <w:p>
      <w:pPr>
        <w:keepLines/>
        <w:spacing w:after="120" w:line="264"/>
        <w:jc w:val="both"/>
      </w:pPr>
      <w:r>
        <w:rPr>
          <w:rFonts w:ascii="Calibri" w:cs="Calibri" w:eastAsia="Calibri" w:hAnsi="Calibri"/>
          <w:sz w:val="22"/>
          <w:szCs w:val="22"/>
        </w:rPr>
        <w:t xml:space="preserve">Physical possession, keys, control, and the signed turnover record pass to the Buyer at closing on August 31, 2026.</w:t>
      </w:r>
    </w:p>
    <w:p>
      <w:pPr>
        <w:keepLines/>
        <w:spacing w:after="120" w:line="264"/>
        <w:jc w:val="both"/>
      </w:pPr>
      <w:r>
        <w:rPr>
          <w:rFonts w:ascii="Calibri" w:cs="Calibri" w:eastAsia="Calibri" w:hAnsi="Calibri"/>
          <w:sz w:val="22"/>
          <w:szCs w:val="22"/>
        </w:rPr>
        <w:t xml:space="preserve">Turnover evidence: The closing report will record all gate, door, mailbox, and utility keys; electric and water meters; vacant possession; included fixtures; dated condition photographs; original permits and warranties; dues and utility cutoffs; and the exact 3:00 p.m. turnover time</w:t>
      </w:r>
    </w:p>
    <w:p>
      <w:pPr>
        <w:keepLines/>
        <w:spacing w:after="120" w:line="264"/>
        <w:jc w:val="both"/>
      </w:pPr>
      <w:r>
        <w:rPr>
          <w:rFonts w:ascii="Calibri" w:cs="Calibri" w:eastAsia="Calibri" w:hAnsi="Calibri"/>
          <w:sz w:val="22"/>
          <w:szCs w:val="22"/>
        </w:rPr>
        <w:t xml:space="preserve">Risk and casualty allocation: Seller bears preservation, insurance, risk, taxes, dues, utilities, rents, and casualty through the 3:00 p.m. signed turnover; Buyer bears them afterward, while any pre-closing casualty or condemnation proceeds remain subject to written price and closing reconciliation</w:t>
      </w:r>
    </w:p>
    <w:p>
      <w:pPr>
        <w:pStyle w:val="Heading2"/>
        <w:keepNext/>
        <w:spacing w:after="120" w:before="240"/>
      </w:pPr>
      <w:r>
        <w:rPr>
          <w:rFonts w:ascii="Calibri" w:cs="Calibri" w:eastAsia="Calibri" w:hAnsi="Calibri"/>
          <w:b/>
          <w:bCs/>
          <w:color w:val="102B3F"/>
          <w:sz w:val="26"/>
          <w:szCs w:val="26"/>
        </w:rPr>
        <w:t xml:space="preserve">5. Title documents, taxes, and registration</w:t>
      </w:r>
    </w:p>
    <w:p>
      <w:pPr>
        <w:keepLines/>
        <w:spacing w:after="120" w:line="264"/>
        <w:jc w:val="both"/>
      </w:pPr>
      <w:r>
        <w:rPr>
          <w:rFonts w:ascii="Calibri" w:cs="Calibri" w:eastAsia="Calibri" w:hAnsi="Calibri"/>
          <w:sz w:val="22"/>
          <w:szCs w:val="22"/>
        </w:rPr>
        <w:t xml:space="preserve">Title and registration document sequence: At closing the Seller delivers the original owner's duplicate TCT, signed deed originals, title and tax certified copies, spouse and identity records, tax clearance, survey, and lien search to the closing agent; the parties then complete BIR filings, eCAR, transfer tax, LGU clearances, and Registry submission in sequence</w:t>
      </w:r>
    </w:p>
    <w:p>
      <w:pPr>
        <w:keepLines/>
        <w:spacing w:after="120" w:line="264"/>
        <w:jc w:val="both"/>
      </w:pPr>
      <w:r>
        <w:rPr>
          <w:rFonts w:ascii="Calibri" w:cs="Calibri" w:eastAsia="Calibri" w:hAnsi="Calibri"/>
          <w:sz w:val="22"/>
          <w:szCs w:val="22"/>
        </w:rPr>
        <w:t xml:space="preserve">Registration will be managed by buyer with seller cooperation, with a contractual target of 30 calendar days to file the complete accepted Registry package after all government-controlled prerequisites are available. No party guarantees a BIR, LGU, Registry, DHSUD, association, lender, or other agency processing date or outcome.</w:t>
      </w:r>
    </w:p>
    <w:p>
      <w:pPr>
        <w:keepLines/>
        <w:spacing w:after="120" w:line="264"/>
        <w:jc w:val="both"/>
      </w:pPr>
      <w:r>
        <w:rPr>
          <w:rFonts w:ascii="Calibri" w:cs="Calibri" w:eastAsia="Calibri" w:hAnsi="Calibri"/>
          <w:sz w:val="22"/>
          <w:szCs w:val="22"/>
        </w:rPr>
        <w:t xml:space="preserve">Tax classification: capital asset; route: capital gains tax. Recorded comparison values are purchase price PHP 6,000,000.00, BIR zonal value PHP 5,700,000.00, and assessor fair market value PHP 4,800,000.00; the highest recorded amount is PHP 6,000,000.00. This is a comparison record, not a tax computation or substitute for the current official value, statutory base, exemptions, or professional filing determination.</w:t>
      </w:r>
    </w:p>
    <w:p>
      <w:pPr>
        <w:keepLines/>
        <w:spacing w:after="120" w:line="264"/>
        <w:jc w:val="both"/>
      </w:pPr>
      <w:r>
        <w:rPr>
          <w:rFonts w:ascii="Calibri" w:cs="Calibri" w:eastAsia="Calibri" w:hAnsi="Calibri"/>
          <w:sz w:val="22"/>
          <w:szCs w:val="22"/>
        </w:rPr>
        <w:t xml:space="preserve">Tax and filing plan: Independent tax counsel confirmed the house and lot is a capital asset of the individual Seller, will apply the higher statutory base, prepare BIR Forms 1706 and 2000-OT, verify filing and payment deadlines, and obtain the eCAR before Registry submission</w:t>
      </w:r>
    </w:p>
    <w:p>
      <w:pPr>
        <w:keepLines/>
        <w:spacing w:after="120" w:line="264"/>
        <w:jc w:val="both"/>
      </w:pPr>
      <w:r>
        <w:rPr>
          <w:rFonts w:ascii="Calibri" w:cs="Calibri" w:eastAsia="Calibri" w:hAnsi="Calibri"/>
          <w:sz w:val="22"/>
          <w:szCs w:val="22"/>
        </w:rPr>
        <w:t xml:space="preserve">Cost allocation: Seller bears capital gains tax and seller-controlled title or lien-release costs; Buyer bears documentary stamp tax, local transfer tax, Registry fees, buyer financing, and new-title costs; notarial and survey costs are shared equally. This allocation is between the parties; it does not change who is liable to the government. For example, the local transfer tax is by law the Seller's duty to pay within sixty days from execution of this Deed (Local Government Code, Section 135), so the Seller remains answerable to the province or city if the Buyer does not pay it.</w:t>
      </w:r>
    </w:p>
    <w:p>
      <w:pPr>
        <w:pStyle w:val="Heading2"/>
        <w:keepNext/>
        <w:spacing w:after="120" w:before="240"/>
      </w:pPr>
      <w:r>
        <w:rPr>
          <w:rFonts w:ascii="Calibri" w:cs="Calibri" w:eastAsia="Calibri" w:hAnsi="Calibri"/>
          <w:b/>
          <w:bCs/>
          <w:color w:val="102B3F"/>
          <w:sz w:val="26"/>
          <w:szCs w:val="26"/>
        </w:rPr>
        <w:t xml:space="preserve">6. Seller representations and warranties</w:t>
      </w:r>
    </w:p>
    <w:p>
      <w:pPr>
        <w:keepLines/>
        <w:spacing w:after="120" w:line="264"/>
        <w:jc w:val="both"/>
      </w:pPr>
      <w:r>
        <w:rPr>
          <w:rFonts w:ascii="Calibri" w:cs="Calibri" w:eastAsia="Calibri" w:hAnsi="Calibri"/>
          <w:sz w:val="22"/>
          <w:szCs w:val="22"/>
        </w:rPr>
        <w:t xml:space="preserve">Seller warrants registered ownership and authority, valid spouse conformity, no prior sale or option, no undisclosed mortgage, lien, adverse claim, lease, occupant, assessment, expropriation notice, association violation, building-order notice, or material structural defect known after reasonable checks, accurate title and tax records, and payment of Seller-period taxes and dues</w:t>
      </w:r>
    </w:p>
    <w:p>
      <w:pPr>
        <w:keepLines/>
        <w:spacing w:after="120" w:line="264"/>
        <w:jc w:val="both"/>
      </w:pPr>
      <w:r>
        <w:rPr>
          <w:rFonts w:ascii="Calibri" w:cs="Calibri" w:eastAsia="Calibri" w:hAnsi="Calibri"/>
          <w:sz w:val="22"/>
          <w:szCs w:val="22"/>
        </w:rPr>
        <w:t xml:space="preserve">Disclosed material defects and adverse facts: None represented after the stated documented inquiry, without replacing the Buyer's independent inspection.</w:t>
      </w:r>
    </w:p>
    <w:p>
      <w:pPr>
        <w:keepLines/>
        <w:spacing w:after="120" w:line="264"/>
        <w:jc w:val="both"/>
      </w:pPr>
      <w:r>
        <w:rPr>
          <w:rFonts w:ascii="Calibri" w:cs="Calibri" w:eastAsia="Calibri" w:hAnsi="Calibri"/>
          <w:sz w:val="22"/>
          <w:szCs w:val="22"/>
        </w:rPr>
        <w:t xml:space="preserve">The Seller confirms no undisclosed prior sale, option, contract to sell, assignment, lease, or transaction conflicts with this conveyance. General representations survive for 24 months after acknowledgment; Title, authority, fraud, intentional concealment, Seller-period taxes and dues, eviction, lien release, and obligations that by nature survive remain enforceable notwithstanding the 24-month general period or physical turnover</w:t>
      </w:r>
    </w:p>
    <w:p>
      <w:pPr>
        <w:pStyle w:val="Heading2"/>
        <w:keepNext/>
        <w:spacing w:after="120" w:before="240"/>
      </w:pPr>
      <w:r>
        <w:rPr>
          <w:rFonts w:ascii="Calibri" w:cs="Calibri" w:eastAsia="Calibri" w:hAnsi="Calibri"/>
          <w:b/>
          <w:bCs/>
          <w:color w:val="102B3F"/>
          <w:sz w:val="26"/>
          <w:szCs w:val="26"/>
        </w:rPr>
        <w:t xml:space="preserve">7. Buyer investigation and acceptance</w:t>
      </w:r>
    </w:p>
    <w:p>
      <w:pPr>
        <w:keepLines/>
        <w:spacing w:after="120" w:line="264"/>
        <w:jc w:val="both"/>
      </w:pPr>
      <w:r>
        <w:rPr>
          <w:rFonts w:ascii="Calibri" w:cs="Calibri" w:eastAsia="Calibri" w:hAnsi="Calibri"/>
          <w:sz w:val="22"/>
          <w:szCs w:val="22"/>
        </w:rPr>
        <w:t xml:space="preserve">Buyer inspection record: Buyer and independent counsel reviewed the certified TCT and Registry entries; a geodetic engineer verified boundaries and access; qualified inspectors reviewed the house, utilities, permits, zoning, taxes, village records, occupants, title exceptions, structural condition, and intended residential use before closing</w:t>
      </w:r>
    </w:p>
    <w:p>
      <w:pPr>
        <w:keepLines/>
        <w:spacing w:after="120" w:line="264"/>
        <w:jc w:val="both"/>
      </w:pPr>
      <w:r>
        <w:rPr>
          <w:rFonts w:ascii="Calibri" w:cs="Calibri" w:eastAsia="Calibri" w:hAnsi="Calibri"/>
          <w:sz w:val="22"/>
          <w:szCs w:val="22"/>
        </w:rPr>
        <w:t xml:space="preserve">The Buyer's investigation and acceptance do not waive fraud, intentional concealment, lack of title or authority, eviction, a specifically assumed obligation, or another right that cannot lawfully be waived. Generic “as-is” wording does not convert an undisclosed title or authority defect into an accepted exception.</w:t>
      </w:r>
    </w:p>
    <w:p>
      <w:pPr>
        <w:pStyle w:val="Heading2"/>
        <w:keepNext/>
        <w:spacing w:after="120" w:before="240"/>
      </w:pPr>
      <w:r>
        <w:rPr>
          <w:rFonts w:ascii="Calibri" w:cs="Calibri" w:eastAsia="Calibri" w:hAnsi="Calibri"/>
          <w:b/>
          <w:bCs/>
          <w:color w:val="102B3F"/>
          <w:sz w:val="26"/>
          <w:szCs w:val="26"/>
        </w:rPr>
        <w:t xml:space="preserve">8. Notices, remedies, and disputes</w:t>
      </w:r>
    </w:p>
    <w:p>
      <w:pPr>
        <w:keepLines/>
        <w:spacing w:after="120" w:line="264"/>
        <w:jc w:val="both"/>
      </w:pPr>
      <w:r>
        <w:rPr>
          <w:rFonts w:ascii="Calibri" w:cs="Calibri" w:eastAsia="Calibri" w:hAnsi="Calibri"/>
          <w:sz w:val="22"/>
          <w:szCs w:val="22"/>
        </w:rPr>
        <w:t xml:space="preserve">Notices: Written notice to the stated party addresses by personal delivery, reputable courier, and authenticated email with retained proof of transmission and receipt; changes require signed notice</w:t>
      </w:r>
    </w:p>
    <w:p>
      <w:pPr>
        <w:keepLines/>
        <w:spacing w:after="120" w:line="264"/>
        <w:jc w:val="both"/>
      </w:pPr>
      <w:r>
        <w:rPr>
          <w:rFonts w:ascii="Calibri" w:cs="Calibri" w:eastAsia="Calibri" w:hAnsi="Calibri"/>
          <w:sz w:val="22"/>
          <w:szCs w:val="22"/>
        </w:rPr>
        <w:t xml:space="preserve">A party claiming breach must identify the fact, record, obligation, loss, and requested cure. The parties will use negotiation, mediation, courts. Any court action arising from this Deed shall be filed exclusively in the proper courts of Makati City, to the exclusion of all other courts, subject to mandatory jurisdiction, barangay conciliation, DHSUD/HSAC, provisional-relief, and procedural rules.</w:t>
      </w:r>
    </w:p>
    <w:p>
      <w:pPr>
        <w:pStyle w:val="Heading2"/>
        <w:keepNext/>
        <w:spacing w:after="120" w:before="240"/>
      </w:pPr>
      <w:r>
        <w:rPr>
          <w:rFonts w:ascii="Calibri" w:cs="Calibri" w:eastAsia="Calibri" w:hAnsi="Calibri"/>
          <w:b/>
          <w:bCs/>
          <w:color w:val="102B3F"/>
          <w:sz w:val="26"/>
          <w:szCs w:val="26"/>
        </w:rPr>
        <w:t xml:space="preserve">9. General and execution terms</w:t>
      </w:r>
    </w:p>
    <w:p>
      <w:pPr>
        <w:keepLines/>
        <w:spacing w:after="120" w:line="264"/>
        <w:jc w:val="both"/>
      </w:pPr>
      <w:r>
        <w:rPr>
          <w:rFonts w:ascii="Calibri" w:cs="Calibri" w:eastAsia="Calibri" w:hAnsi="Calibri"/>
          <w:sz w:val="22"/>
          <w:szCs w:val="22"/>
        </w:rPr>
        <w:t xml:space="preserve">This Deed and its signed schedules contain the conveyance terms. A change, correction, waiver, post-closing undertaking, tax allocation, or settlement must be in a signed writing and cannot falsify the original closing facts or reduce mandatory rights. Invalid language is limited only to the lawful extent without rewriting the essential absolute-sale transaction. </w:t>
      </w:r>
    </w:p>
    <w:p>
      <w:pPr>
        <w:keepLines/>
        <w:spacing w:after="120" w:line="264"/>
        <w:jc w:val="both"/>
      </w:pPr>
      <w:r>
        <w:rPr>
          <w:rFonts w:ascii="Calibri" w:cs="Calibri" w:eastAsia="Calibri" w:hAnsi="Calibri"/>
          <w:sz w:val="22"/>
          <w:szCs w:val="22"/>
        </w:rPr>
        <w:t xml:space="preserve">Execution route: paper notarized philippines. Actual acknowledgment venue: Makati City. The complete registrable originals will be signed with two disinterested witnesses, proper page controls, competent identity and authority evidence, and a contemporaneous acknowledgment.</w:t>
      </w:r>
    </w:p>
    <w:p>
      <w:pPr>
        <w:keepNext/>
        <w:spacing w:after="260" w:before="360"/>
      </w:pPr>
      <w:r>
        <w:rPr>
          <w:rFonts w:ascii="Calibri" w:cs="Calibri" w:eastAsia="Calibri" w:hAnsi="Calibri"/>
          <w:b/>
          <w:bCs/>
          <w:sz w:val="22"/>
          <w:szCs w:val="22"/>
        </w:rPr>
        <w:t xml:space="preserve">The parties sign only after the complete Deed and every schedule have been reviewed, every blank has been completed or struck out, and the full cleared-price and closing evidence have been confirmed.</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SELLER</w:t>
            </w:r>
          </w:p>
          <w:p>
            <w:pPr>
              <w:spacing w:after="120"/>
            </w:pPr>
            <w:r>
              <w:rPr>
                <w:rFonts w:ascii="Calibri" w:cs="Calibri" w:eastAsia="Calibri" w:hAnsi="Calibri"/>
                <w:sz w:val="22"/>
                <w:szCs w:val="22"/>
              </w:rPr>
              <w:t xml:space="preserve">Maria Elena Santos</w:t>
            </w:r>
          </w:p>
          <w:p>
            <w:pPr>
              <w:spacing w:after="120"/>
            </w:pPr>
            <w:r>
              <w:rPr>
                <w:rFonts w:ascii="Calibri" w:cs="Calibri" w:eastAsia="Calibri" w:hAnsi="Calibri"/>
                <w:sz w:val="22"/>
                <w:szCs w:val="22"/>
              </w:rPr>
              <w:t xml:space="preserve">Seller</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WITH MY MARITAL CONSENT:</w:t>
            </w:r>
          </w:p>
          <w:p>
            <w:pPr>
              <w:spacing w:after="120"/>
            </w:pPr>
            <w:r>
              <w:rPr>
                <w:rFonts w:ascii="Calibri" w:cs="Calibri" w:eastAsia="Calibri" w:hAnsi="Calibri"/>
                <w:sz w:val="22"/>
                <w:szCs w:val="22"/>
              </w:rPr>
              <w:t xml:space="preserve">Carlos Reyes Santos</w:t>
            </w:r>
          </w:p>
          <w:p>
            <w:pPr>
              <w:spacing w:after="120"/>
            </w:pPr>
            <w:r>
              <w:rPr>
                <w:rFonts w:ascii="Calibri" w:cs="Calibri" w:eastAsia="Calibri" w:hAnsi="Calibri"/>
                <w:sz w:val="22"/>
                <w:szCs w:val="22"/>
              </w:rPr>
              <w:t xml:space="preserve">Spouse of the Seller</w:t>
            </w:r>
          </w:p>
          <w:p>
            <w:r>
              <w:rPr>
                <w:rFonts w:ascii="Calibri" w:cs="Calibri" w:eastAsia="Calibri" w:hAnsi="Calibri"/>
                <w:sz w:val="22"/>
                <w:szCs w:val="22"/>
              </w:rPr>
              <w:t xml:space="preserve">Date: ______________________________</w:t>
            </w:r>
          </w:p>
        </w:tc>
      </w:tr>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BUYER</w:t>
            </w:r>
          </w:p>
          <w:p>
            <w:pPr>
              <w:spacing w:after="120"/>
            </w:pPr>
            <w:r>
              <w:rPr>
                <w:rFonts w:ascii="Calibri" w:cs="Calibri" w:eastAsia="Calibri" w:hAnsi="Calibri"/>
                <w:sz w:val="22"/>
                <w:szCs w:val="22"/>
              </w:rPr>
              <w:t xml:space="preserve">Roberto Dela Cruz</w:t>
            </w:r>
          </w:p>
          <w:p>
            <w:pPr>
              <w:spacing w:after="120"/>
            </w:pPr>
            <w:r>
              <w:rPr>
                <w:rFonts w:ascii="Calibri" w:cs="Calibri" w:eastAsia="Calibri" w:hAnsi="Calibri"/>
                <w:sz w:val="22"/>
                <w:szCs w:val="22"/>
              </w:rPr>
              <w:t xml:space="preserve">Buyer</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SIGNED IN THE PRESENCE OF:</w:t>
            </w:r>
          </w:p>
          <w:p>
            <w:pPr>
              <w:spacing w:after="120"/>
            </w:pPr>
            <w:r>
              <w:rPr>
                <w:rFonts w:ascii="Calibri" w:cs="Calibri" w:eastAsia="Calibri" w:hAnsi="Calibri"/>
                <w:sz w:val="22"/>
                <w:szCs w:val="22"/>
              </w:rPr>
              <w:t xml:space="preserve">______________________________</w:t>
            </w:r>
          </w:p>
          <w:p>
            <w:pPr>
              <w:spacing w:after="120"/>
            </w:pPr>
            <w:r>
              <w:rPr>
                <w:rFonts w:ascii="Calibri" w:cs="Calibri" w:eastAsia="Calibri" w:hAnsi="Calibri"/>
                <w:sz w:val="22"/>
                <w:szCs w:val="22"/>
              </w:rPr>
              <w:t xml:space="preserve">Instrumental witness</w:t>
            </w:r>
          </w:p>
          <w:p>
            <w:r>
              <w:rPr>
                <w:rFonts w:ascii="Calibri" w:cs="Calibri" w:eastAsia="Calibri" w:hAnsi="Calibri"/>
                <w:sz w:val="22"/>
                <w:szCs w:val="22"/>
              </w:rPr>
              <w:t xml:space="preserve">Date: ______________________________</w:t>
            </w:r>
          </w:p>
        </w:tc>
      </w:tr>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SIGNED IN THE PRESENCE OF:</w:t>
            </w:r>
          </w:p>
          <w:p>
            <w:pPr>
              <w:spacing w:after="120"/>
            </w:pPr>
            <w:r>
              <w:rPr>
                <w:rFonts w:ascii="Calibri" w:cs="Calibri" w:eastAsia="Calibri" w:hAnsi="Calibri"/>
                <w:sz w:val="22"/>
                <w:szCs w:val="22"/>
              </w:rPr>
              <w:t xml:space="preserve">______________________________</w:t>
            </w:r>
          </w:p>
          <w:p>
            <w:pPr>
              <w:spacing w:after="120"/>
            </w:pPr>
            <w:r>
              <w:rPr>
                <w:rFonts w:ascii="Calibri" w:cs="Calibri" w:eastAsia="Calibri" w:hAnsi="Calibri"/>
                <w:sz w:val="22"/>
                <w:szCs w:val="22"/>
              </w:rPr>
              <w:t xml:space="preserve">Instrumental witness</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
            </w:r>
          </w:p>
          <w:p>
            <w:pPr>
              <w:spacing w:after="120"/>
            </w:pPr>
            <w:r>
              <w:rPr>
                <w:rFonts w:ascii="Calibri" w:cs="Calibri" w:eastAsia="Calibri" w:hAnsi="Calibri"/>
                <w:sz w:val="22"/>
                <w:szCs w:val="22"/>
              </w:rPr>
              <w:t xml:space="preserve"/>
            </w:r>
          </w:p>
          <w:p>
            <w:pPr>
              <w:spacing w:after="120"/>
            </w:pPr>
            <w:r>
              <w:rPr>
                <w:rFonts w:ascii="Calibri" w:cs="Calibri" w:eastAsia="Calibri" w:hAnsi="Calibri"/>
                <w:sz w:val="22"/>
                <w:szCs w:val="22"/>
              </w:rPr>
              <w:t xml:space="preserve"/>
            </w:r>
          </w:p>
          <w:p>
            <w:r>
              <w:rPr>
                <w:rFonts w:ascii="Calibri" w:cs="Calibri" w:eastAsia="Calibri" w:hAnsi="Calibri"/>
                <w:sz w:val="22"/>
                <w:szCs w:val="22"/>
              </w:rPr>
              <w:t xml:space="preserve"/>
            </w:r>
          </w:p>
        </w:tc>
      </w:tr>
    </w:tbl>
    <w:p>
      <w:pPr>
        <w:pStyle w:val="Heading2"/>
        <w:keepNext/>
        <w:spacing w:after="120" w:before="240"/>
      </w:pPr>
      <w:r>
        <w:rPr>
          <w:rFonts w:ascii="Calibri" w:cs="Calibri" w:eastAsia="Calibri" w:hAnsi="Calibri"/>
          <w:b/>
          <w:bCs/>
          <w:color w:val="102B3F"/>
          <w:sz w:val="26"/>
          <w:szCs w:val="26"/>
        </w:rPr>
        <w:t xml:space="preserve">ACKNOWLEDGMENT</w:t>
      </w:r>
    </w:p>
    <w:p>
      <w:pPr>
        <w:keepLines/>
        <w:spacing w:after="120" w:line="264"/>
        <w:jc w:val="both"/>
      </w:pPr>
      <w:r>
        <w:rPr>
          <w:rFonts w:ascii="Calibri" w:cs="Calibri" w:eastAsia="Calibri" w:hAnsi="Calibri"/>
          <w:sz w:val="22"/>
          <w:szCs w:val="22"/>
        </w:rPr>
        <w:t xml:space="preserve">REPUBLIC OF THE PHILIPPINES )
MAKATI CITY ) S.S.</w:t>
      </w:r>
    </w:p>
    <w:p>
      <w:pPr>
        <w:keepLines/>
        <w:spacing w:after="120" w:line="264"/>
        <w:jc w:val="both"/>
      </w:pPr>
      <w:r>
        <w:rPr>
          <w:rFonts w:ascii="Calibri" w:cs="Calibri" w:eastAsia="Calibri" w:hAnsi="Calibri"/>
          <w:sz w:val="22"/>
          <w:szCs w:val="22"/>
        </w:rPr>
        <w:t xml:space="preserve">BEFORE ME, a Notary Public for and in Makati City, Philippines, on ____________________, personally appeared:</w:t>
      </w:r>
    </w:p>
    <w:p>
      <w:pPr>
        <w:keepLines/>
        <w:spacing w:after="120" w:line="264"/>
        <w:jc w:val="both"/>
      </w:pPr>
      <w:r>
        <w:rPr>
          <w:rFonts w:ascii="Calibri" w:cs="Calibri" w:eastAsia="Calibri" w:hAnsi="Calibri"/>
          <w:sz w:val="22"/>
          <w:szCs w:val="22"/>
        </w:rPr>
        <w:t xml:space="preserve">Maria Elena Santos, Seller — competent evidence of identity: ____________________; date and place issued: ____________________; valid until: ____________________</w:t>
      </w:r>
    </w:p>
    <w:p>
      <w:pPr>
        <w:keepLines/>
        <w:spacing w:after="120" w:line="264"/>
        <w:jc w:val="both"/>
      </w:pPr>
      <w:r>
        <w:rPr>
          <w:rFonts w:ascii="Calibri" w:cs="Calibri" w:eastAsia="Calibri" w:hAnsi="Calibri"/>
          <w:sz w:val="22"/>
          <w:szCs w:val="22"/>
        </w:rPr>
        <w:t xml:space="preserve">Carlos Reyes Santos, spouse of the Seller, giving marital consent — competent evidence of identity: ____________________; date and place issued: ____________________; valid until: ____________________</w:t>
      </w:r>
    </w:p>
    <w:p>
      <w:pPr>
        <w:keepLines/>
        <w:spacing w:after="120" w:line="264"/>
        <w:jc w:val="both"/>
      </w:pPr>
      <w:r>
        <w:rPr>
          <w:rFonts w:ascii="Calibri" w:cs="Calibri" w:eastAsia="Calibri" w:hAnsi="Calibri"/>
          <w:sz w:val="22"/>
          <w:szCs w:val="22"/>
        </w:rPr>
        <w:t xml:space="preserve">Roberto Dela Cruz, Buyer — competent evidence of identity: ____________________; date and place issued: ____________________; valid until: ____________________</w:t>
      </w:r>
    </w:p>
    <w:p>
      <w:pPr>
        <w:keepLines/>
        <w:spacing w:after="120" w:line="264"/>
        <w:jc w:val="both"/>
      </w:pPr>
      <w:r>
        <w:rPr>
          <w:rFonts w:ascii="Calibri" w:cs="Calibri" w:eastAsia="Calibri" w:hAnsi="Calibri"/>
          <w:sz w:val="22"/>
          <w:szCs w:val="22"/>
        </w:rPr>
        <w:t xml:space="preserve">known to me and to me known to be the same persons who executed the foregoing Deed of Absolute Sale, and who acknowledged to me that it is their free and voluntary act and deed.</w:t>
      </w:r>
    </w:p>
    <w:p>
      <w:pPr>
        <w:keepLines/>
        <w:spacing w:after="120" w:line="264"/>
        <w:jc w:val="both"/>
      </w:pPr>
      <w:r>
        <w:rPr>
          <w:rFonts w:ascii="Calibri" w:cs="Calibri" w:eastAsia="Calibri" w:hAnsi="Calibri"/>
          <w:sz w:val="22"/>
          <w:szCs w:val="22"/>
        </w:rPr>
        <w:t xml:space="preserve">This instrument, consisting of ____ (__) pages, including the page on which this acknowledgment is written, refers to a Deed of Absolute Sale relating to one (1) parcel of land, and has been signed by the parties and their instrumental witnesses on the left margin of each and every page thereof and sealed with my notarial seal.</w:t>
      </w:r>
    </w:p>
    <w:p>
      <w:pPr>
        <w:keepLines/>
        <w:spacing w:after="120" w:line="264"/>
        <w:jc w:val="both"/>
      </w:pPr>
      <w:r>
        <w:rPr>
          <w:rFonts w:ascii="Calibri" w:cs="Calibri" w:eastAsia="Calibri" w:hAnsi="Calibri"/>
          <w:sz w:val="22"/>
          <w:szCs w:val="22"/>
        </w:rPr>
        <w:t xml:space="preserve">WITNESS MY HAND AND SEAL on the date and at the place first written above.</w:t>
      </w:r>
    </w:p>
    <w:p>
      <w:pPr>
        <w:keepLines/>
        <w:spacing w:after="120" w:line="264"/>
        <w:jc w:val="both"/>
      </w:pPr>
      <w:r>
        <w:rPr>
          <w:rFonts w:ascii="Calibri" w:cs="Calibri" w:eastAsia="Calibri" w:hAnsi="Calibri"/>
          <w:sz w:val="22"/>
          <w:szCs w:val="22"/>
        </w:rPr>
        <w:t xml:space="preserve">NOTARY PUBLIC
Commission No.: __________________ Until: __________________
Roll of Attorneys No.: __________________
PTR No. / IBP No.: __________________
Office address: __________________</w:t>
      </w:r>
    </w:p>
    <w:p>
      <w:pPr>
        <w:keepLines/>
        <w:spacing w:after="120" w:line="264"/>
        <w:jc w:val="both"/>
      </w:pPr>
      <w:r>
        <w:rPr>
          <w:rFonts w:ascii="Calibri" w:cs="Calibri" w:eastAsia="Calibri" w:hAnsi="Calibri"/>
          <w:sz w:val="22"/>
          <w:szCs w:val="22"/>
        </w:rPr>
        <w:t xml:space="preserve">Doc. No. ______;
Page No. ______;
Book No. ______;
Series of ______.</w:t>
      </w:r>
    </w:p>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All parties and both instrumental witnesses sign the left margin of every page, and sign in full on the signature page. The notary states the number of pages (and the number of parcels, if two or more) in the acknowledgment (Presidential Decree No. 1529, Section 112).</w:t>
      </w:r>
    </w:p>
    <w:p>
      <w:pPr>
        <w:pStyle w:val="ListParagraph"/>
        <w:keepNext/>
        <w:numPr>
          <w:ilvl w:val="0"/>
          <w:numId w:val="1"/>
        </w:numPr>
        <w:spacing w:after="120" w:line="264"/>
      </w:pPr>
      <w:r>
        <w:rPr>
          <w:rFonts w:ascii="Calibri" w:cs="Calibri" w:eastAsia="Calibri" w:hAnsi="Calibri"/>
          <w:sz w:val="22"/>
          <w:szCs w:val="22"/>
        </w:rPr>
        <w:t xml:space="preserve">Tax deadlines for a deed dated August 31, 2026, in order: (1) Capital gains tax: 6% of the higher of the selling price or fair market value; BIR Form 1706 filed and paid by September 30, 2026 (30 days after the sale). (2) Documentary stamp tax: PHP 15 for each PHP 1,000 of the higher of the price or fair market value; BIR Form 2000-OT filed and paid by September 5, 2026 (five days after the close of the month of notarization). (3) Local transfer tax: paid to the province or city by October 30, 2026 (60 days from execution); by law this is the Seller's duty. (4) Then obtain the eCAR from the BIR, and (5) register the deed with the Registry of Deeds. Late filing brings surcharges and interest. Confirm each date with a tax professional, the BIR, and the treasurer's office.</w:t>
      </w:r>
    </w:p>
    <w:p>
      <w:pPr>
        <w:pStyle w:val="ListParagraph"/>
        <w:keepNext/>
        <w:numPr>
          <w:ilvl w:val="0"/>
          <w:numId w:val="1"/>
        </w:numPr>
        <w:spacing w:after="120" w:line="264"/>
      </w:pPr>
      <w:r>
        <w:rPr>
          <w:rFonts w:ascii="Calibri" w:cs="Calibri" w:eastAsia="Calibri" w:hAnsi="Calibri"/>
          <w:sz w:val="22"/>
          <w:szCs w:val="22"/>
        </w:rPr>
        <w:t xml:space="preserve">Bring the Seller's and Buyer's TINs to the BIR; they are mandatory for the capital gains tax, documentary stamp tax, and eCAR.</w:t>
      </w:r>
    </w:p>
    <w:p>
      <w:pPr>
        <w:pStyle w:val="ListParagraph"/>
        <w:keepNext/>
        <w:numPr>
          <w:ilvl w:val="0"/>
          <w:numId w:val="1"/>
        </w:numPr>
        <w:spacing w:after="120" w:line="264"/>
      </w:pPr>
      <w:r>
        <w:rPr>
          <w:rFonts w:ascii="Calibri" w:cs="Calibri" w:eastAsia="Calibri" w:hAnsi="Calibri"/>
          <w:sz w:val="22"/>
          <w:szCs w:val="22"/>
        </w:rPr>
        <w:t xml:space="preserve">Obtain a fresh certified true copy directly from the proper Registry of Deeds and compare the owner's duplicate, title number, registered owner, civil status, technical description, annotations, page integrity, and physical property.</w:t>
      </w:r>
    </w:p>
    <w:p>
      <w:pPr>
        <w:pStyle w:val="ListParagraph"/>
        <w:keepNext/>
        <w:numPr>
          <w:ilvl w:val="0"/>
          <w:numId w:val="1"/>
        </w:numPr>
        <w:spacing w:after="120" w:line="264"/>
      </w:pPr>
      <w:r>
        <w:rPr>
          <w:rFonts w:ascii="Calibri" w:cs="Calibri" w:eastAsia="Calibri" w:hAnsi="Calibri"/>
          <w:sz w:val="22"/>
          <w:szCs w:val="22"/>
        </w:rPr>
        <w:t xml:space="preserve">Verify Seller and Buyer identities, citizenship or entity-ownership eligibility, civil status, spouse or co-owner consent, board/partner/estate/representative authority, beneficial ownership where applicable, and signature specimens against originals.</w:t>
      </w:r>
    </w:p>
    <w:p>
      <w:pPr>
        <w:pStyle w:val="ListParagraph"/>
        <w:keepNext/>
        <w:numPr>
          <w:ilvl w:val="0"/>
          <w:numId w:val="1"/>
        </w:numPr>
        <w:spacing w:after="120" w:line="264"/>
      </w:pPr>
      <w:r>
        <w:rPr>
          <w:rFonts w:ascii="Calibri" w:cs="Calibri" w:eastAsia="Calibri" w:hAnsi="Calibri"/>
          <w:sz w:val="22"/>
          <w:szCs w:val="22"/>
        </w:rPr>
        <w:t xml:space="preserve">Have a licensed geodetic engineer and appropriate property professionals verify boundaries, area, access, encroachments, improvements, condition, occupancy, permits, zoning, utilities, hazards, association records, and intended use.</w:t>
      </w:r>
    </w:p>
    <w:p>
      <w:pPr>
        <w:pStyle w:val="ListParagraph"/>
        <w:keepNext/>
        <w:numPr>
          <w:ilvl w:val="0"/>
          <w:numId w:val="1"/>
        </w:numPr>
        <w:spacing w:after="120" w:line="264"/>
      </w:pPr>
      <w:r>
        <w:rPr>
          <w:rFonts w:ascii="Calibri" w:cs="Calibri" w:eastAsia="Calibri" w:hAnsi="Calibri"/>
          <w:sz w:val="22"/>
          <w:szCs w:val="22"/>
        </w:rPr>
        <w:t xml:space="preserve">Reconcile every deposit and the final cleared price through traceable evidence. Do not release funds against a blank deed, copy-only title, unverified account change, missing authority, unresolved lien, or incomplete simultaneous-closing instruction.</w:t>
      </w:r>
    </w:p>
    <w:p>
      <w:pPr>
        <w:pStyle w:val="ListParagraph"/>
        <w:keepNext/>
        <w:numPr>
          <w:ilvl w:val="0"/>
          <w:numId w:val="1"/>
        </w:numPr>
        <w:spacing w:after="120" w:line="264"/>
      </w:pPr>
      <w:r>
        <w:rPr>
          <w:rFonts w:ascii="Calibri" w:cs="Calibri" w:eastAsia="Calibri" w:hAnsi="Calibri"/>
          <w:sz w:val="22"/>
          <w:szCs w:val="22"/>
        </w:rPr>
        <w:t xml:space="preserve">Have Philippine tax professionals verify capital-versus-ordinary-asset classification, the current statutory base, CGT or EWT, VAT if any, DST, principal-residence requirements, deadlines, forms, payment channels, eCAR/CAR, local transfer tax, and lawful cost allocation.</w:t>
      </w:r>
    </w:p>
    <w:p>
      <w:pPr>
        <w:pStyle w:val="ListParagraph"/>
        <w:keepNext/>
        <w:numPr>
          <w:ilvl w:val="0"/>
          <w:numId w:val="1"/>
        </w:numPr>
        <w:spacing w:after="120" w:line="264"/>
      </w:pPr>
      <w:r>
        <w:rPr>
          <w:rFonts w:ascii="Calibri" w:cs="Calibri" w:eastAsia="Calibri" w:hAnsi="Calibri"/>
          <w:sz w:val="22"/>
          <w:szCs w:val="22"/>
        </w:rPr>
        <w:t xml:space="preserve">Assemble and verify the current LRA/Registry package, including the original notarized deed, owner's duplicate, eCAR/CAR, realty-tax clearance, tax declarations, transfer-tax proof, identities, authority records, mandatory registration information, and recipient-specific additions.</w:t>
      </w:r>
    </w:p>
    <w:p>
      <w:pPr>
        <w:pStyle w:val="ListParagraph"/>
        <w:keepNext/>
        <w:numPr>
          <w:ilvl w:val="0"/>
          <w:numId w:val="1"/>
        </w:numPr>
        <w:spacing w:after="120" w:line="264"/>
      </w:pPr>
      <w:r>
        <w:rPr>
          <w:rFonts w:ascii="Calibri" w:cs="Calibri" w:eastAsia="Calibri" w:hAnsi="Calibri"/>
          <w:sz w:val="22"/>
          <w:szCs w:val="22"/>
        </w:rPr>
        <w:t xml:space="preserve">Use a signed physical-turnover report with date and time, keys, meters, occupants, condition media, fixtures, records, taxes, dues, utilities, insurance, risk, and any temporary post-conveyance occupancy terms.</w:t>
      </w:r>
    </w:p>
    <w:p>
      <w:pPr>
        <w:pStyle w:val="ListParagraph"/>
        <w:keepNext/>
        <w:numPr>
          <w:ilvl w:val="0"/>
          <w:numId w:val="1"/>
        </w:numPr>
        <w:spacing w:after="120" w:line="264"/>
      </w:pPr>
      <w:r>
        <w:rPr>
          <w:rFonts w:ascii="Calibri" w:cs="Calibri" w:eastAsia="Calibri" w:hAnsi="Calibri"/>
          <w:sz w:val="22"/>
          <w:szCs w:val="22"/>
        </w:rPr>
        <w:t xml:space="preserve">Sign complete paper originals with two disinterested witnesses; complete required page, parcel, identity, authority, and acknowledgment controls through personal appearance; never complete the notary's certificate or register.</w:t>
      </w:r>
    </w:p>
    <w:p>
      <w:pPr>
        <w:pStyle w:val="ListParagraph"/>
        <w:keepNext/>
        <w:numPr>
          <w:ilvl w:val="0"/>
          <w:numId w:val="1"/>
        </w:numPr>
        <w:spacing w:after="120" w:line="264"/>
      </w:pPr>
      <w:r>
        <w:rPr>
          <w:rFonts w:ascii="Calibri" w:cs="Calibri" w:eastAsia="Calibri" w:hAnsi="Calibri"/>
          <w:sz w:val="22"/>
          <w:szCs w:val="22"/>
        </w:rPr>
        <w:t xml:space="preserve">Register promptly after BIR and LGU prerequisites are complete; obtain the new title and verify every name, civil-status entry, technical description, encumbrance, and prior-title cancellation.</w:t>
      </w:r>
    </w:p>
    <w:p>
      <w:pPr>
        <w:pStyle w:val="ListParagraph"/>
        <w:keepNext w:val="false"/>
        <w:numPr>
          <w:ilvl w:val="0"/>
          <w:numId w:val="1"/>
        </w:numPr>
        <w:spacing w:after="120" w:line="264"/>
      </w:pPr>
      <w:r>
        <w:rPr>
          <w:rFonts w:ascii="Calibri" w:cs="Calibri" w:eastAsia="Calibri" w:hAnsi="Calibri"/>
          <w:sz w:val="22"/>
          <w:szCs w:val="22"/>
        </w:rPr>
        <w:t xml:space="preserve">Preserve identical originals and every title, survey, authority, payment, tax, registration, turnover, notice, and correction record without overwriting the closing file.</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2026-08-31 onward, subject to the recorded review cycle | Independent Philippine real-property lawyer review pending | Last legal check 2026-10-01 | Next review due 2026-11-01</w:t>
      </w:r>
    </w:p>
    <w:p>
      <w:pPr>
        <w:keepNext/>
        <w:spacing w:after="60" w:before="100"/>
      </w:pPr>
      <w:r>
        <w:rPr>
          <w:rFonts w:ascii="Calibri" w:cs="Calibri" w:eastAsia="Calibri" w:hAnsi="Calibri"/>
          <w:b/>
          <w:bCs/>
          <w:sz w:val="18"/>
          <w:szCs w:val="18"/>
        </w:rPr>
        <w:t xml:space="preserve">Republic Act No. 386 — Civil Code - Articles 1357–1358, 1403, 1458–1460, 1475, 1477, 1490 (no sales between spouses), 1491, 1495, 1497–1498, 1874 and 1878(5) (written special authority of an agent who sells land), and sale warranties and remedies (checked 2026-10-01)</w:t>
      </w:r>
    </w:p>
    <w:p>
      <w:pPr>
        <w:spacing w:after="120"/>
      </w:pPr>
      <w:hyperlink w:history="1" r:id="rIdzikvdhpcgzmfq0gpls6qa">
        <w:r>
          <w:rPr>
            <w:rFonts w:ascii="Calibri" w:cs="Calibri" w:eastAsia="Calibri" w:hAnsi="Calibri"/>
            <w:color w:val="315B75"/>
            <w:sz w:val="17"/>
            <w:szCs w:val="17"/>
            <w:u w:val="single"/>
          </w:rPr>
          <w:t xml:space="preserve">https://lawphil.net/statutes/repacts/ra1949/ra_386_1949.html</w:t>
        </w:r>
      </w:hyperlink>
    </w:p>
    <w:p>
      <w:pPr>
        <w:keepNext/>
        <w:spacing w:after="60" w:before="100"/>
      </w:pPr>
      <w:r>
        <w:rPr>
          <w:rFonts w:ascii="Calibri" w:cs="Calibri" w:eastAsia="Calibri" w:hAnsi="Calibri"/>
          <w:b/>
          <w:bCs/>
          <w:sz w:val="18"/>
          <w:szCs w:val="18"/>
        </w:rPr>
        <w:t xml:space="preserve">Tamayao v. Lacambra, G.R. No. 244232, November 3, 2020 - Execution of a public instrument of sale is equivalent to delivery (constructive delivery), and its evidentiary effect (checked 2026-10-01)</w:t>
      </w:r>
    </w:p>
    <w:p>
      <w:pPr>
        <w:spacing w:after="120"/>
      </w:pPr>
      <w:hyperlink w:history="1" r:id="rIdqbrbuny8xvbzipd8xfrtq">
        <w:r>
          <w:rPr>
            <w:rFonts w:ascii="Calibri" w:cs="Calibri" w:eastAsia="Calibri" w:hAnsi="Calibri"/>
            <w:color w:val="315B75"/>
            <w:sz w:val="17"/>
            <w:szCs w:val="17"/>
            <w:u w:val="single"/>
          </w:rPr>
          <w:t xml:space="preserve">https://lawphil.net/judjuris/juri2020/nov2020/gr_244232_2020.html</w:t>
        </w:r>
      </w:hyperlink>
    </w:p>
    <w:p>
      <w:pPr>
        <w:keepNext/>
        <w:spacing w:after="60" w:before="100"/>
      </w:pPr>
      <w:r>
        <w:rPr>
          <w:rFonts w:ascii="Calibri" w:cs="Calibri" w:eastAsia="Calibri" w:hAnsi="Calibri"/>
          <w:b/>
          <w:bCs/>
          <w:sz w:val="18"/>
          <w:szCs w:val="18"/>
        </w:rPr>
        <w:t xml:space="preserve">Presidential Decree No. 1529 — Property Registration Decree - Sections 51, 52, 57, and 112 on conveyance, third-party effect, registration, two witnesses, and an acknowledgment stating the page count, left-margin signing, and number of parcels (checked 2026-10-01)</w:t>
      </w:r>
    </w:p>
    <w:p>
      <w:pPr>
        <w:spacing w:after="120"/>
      </w:pPr>
      <w:hyperlink w:history="1" r:id="rIdblt8ck2jk_egi1ogdhbkh">
        <w:r>
          <w:rPr>
            <w:rFonts w:ascii="Calibri" w:cs="Calibri" w:eastAsia="Calibri" w:hAnsi="Calibri"/>
            <w:color w:val="315B75"/>
            <w:sz w:val="17"/>
            <w:szCs w:val="17"/>
            <w:u w:val="single"/>
          </w:rPr>
          <w:t xml:space="preserve">https://lawphil.net/statutes/presdecs/pd1978/pd_1529_1978.html</w:t>
        </w:r>
      </w:hyperlink>
    </w:p>
    <w:p>
      <w:pPr>
        <w:keepNext/>
        <w:spacing w:after="60" w:before="100"/>
      </w:pPr>
      <w:r>
        <w:rPr>
          <w:rFonts w:ascii="Calibri" w:cs="Calibri" w:eastAsia="Calibri" w:hAnsi="Calibri"/>
          <w:b/>
          <w:bCs/>
          <w:sz w:val="18"/>
          <w:szCs w:val="18"/>
        </w:rPr>
        <w:t xml:space="preserve">LRA Deed of Absolute Sale reference form - Core party, title, technical-description, consideration, conveyance, signature, witness, and acknowledgment fields (checked 2026-08-31)</w:t>
      </w:r>
    </w:p>
    <w:p>
      <w:pPr>
        <w:spacing w:after="120"/>
      </w:pPr>
      <w:hyperlink w:history="1" r:id="rIdx5n7a0fexrwfntyxcd2uj">
        <w:r>
          <w:rPr>
            <w:rFonts w:ascii="Calibri" w:cs="Calibri" w:eastAsia="Calibri" w:hAnsi="Calibri"/>
            <w:color w:val="315B75"/>
            <w:sz w:val="17"/>
            <w:szCs w:val="17"/>
            <w:u w:val="single"/>
          </w:rPr>
          <w:t xml:space="preserve">https://lra.gov.ph/wp-content/uploads/2022/07/deedofabsolutesale1.pdf</w:t>
        </w:r>
      </w:hyperlink>
    </w:p>
    <w:p>
      <w:pPr>
        <w:keepNext/>
        <w:spacing w:after="60" w:before="100"/>
      </w:pPr>
      <w:r>
        <w:rPr>
          <w:rFonts w:ascii="Calibri" w:cs="Calibri" w:eastAsia="Calibri" w:hAnsi="Calibri"/>
          <w:b/>
          <w:bCs/>
          <w:sz w:val="18"/>
          <w:szCs w:val="18"/>
        </w:rPr>
        <w:t xml:space="preserve">LRA Circular No. 10-2020 — Requirements for Registration of Sale of Lands - Original notarized deed, eCAR, owner's duplicate title, tax clearance, tax declaration, transfer tax, identities, and authority records (checked 2026-08-31)</w:t>
      </w:r>
    </w:p>
    <w:p>
      <w:pPr>
        <w:spacing w:after="120"/>
      </w:pPr>
      <w:hyperlink w:history="1" r:id="rIdrwjfpoe9m7nvse2ip1qs-">
        <w:r>
          <w:rPr>
            <w:rFonts w:ascii="Calibri" w:cs="Calibri" w:eastAsia="Calibri" w:hAnsi="Calibri"/>
            <w:color w:val="315B75"/>
            <w:sz w:val="17"/>
            <w:szCs w:val="17"/>
            <w:u w:val="single"/>
          </w:rPr>
          <w:t xml:space="preserve">https://www.lra.gov.ph/images/Transparency_Page/X.Memorandum_Circulars/LRA_Circular_No_10-2020_-_Official_List_of_Documents_required_for_Registration_of_Sale_of_Registerd_and_Unregistered_Lands.pdf</w:t>
        </w:r>
      </w:hyperlink>
    </w:p>
    <w:p>
      <w:pPr>
        <w:keepNext/>
        <w:spacing w:after="60" w:before="100"/>
      </w:pPr>
      <w:r>
        <w:rPr>
          <w:rFonts w:ascii="Calibri" w:cs="Calibri" w:eastAsia="Calibri" w:hAnsi="Calibri"/>
          <w:b/>
          <w:bCs/>
          <w:sz w:val="18"/>
          <w:szCs w:val="18"/>
        </w:rPr>
        <w:t xml:space="preserve">LRA Mandatory Registration Information — Deed of Absolute Sale - Citizenship, civil status, spouse, representative, entity authority, property, and notarial registration data (checked 2026-08-31)</w:t>
      </w:r>
    </w:p>
    <w:p>
      <w:pPr>
        <w:spacing w:after="120"/>
      </w:pPr>
      <w:hyperlink w:history="1" r:id="rId3rzb97dyak6mgy7tf39uc">
        <w:r>
          <w:rPr>
            <w:rFonts w:ascii="Calibri" w:cs="Calibri" w:eastAsia="Calibri" w:hAnsi="Calibri"/>
            <w:color w:val="315B75"/>
            <w:sz w:val="17"/>
            <w:szCs w:val="17"/>
            <w:u w:val="single"/>
          </w:rPr>
          <w:t xml:space="preserve">https://lra.gov.ph/wp-content/uploads/2022/07/MRI_Form_-_Deed_of_Absolute_Sale_Final_03_revised_20211116_LRAQMSFRM2021003_Revision_0___11-16-2021.pdf</w:t>
        </w:r>
      </w:hyperlink>
    </w:p>
    <w:p>
      <w:pPr>
        <w:keepNext/>
        <w:spacing w:after="60" w:before="100"/>
      </w:pPr>
      <w:r>
        <w:rPr>
          <w:rFonts w:ascii="Calibri" w:cs="Calibri" w:eastAsia="Calibri" w:hAnsi="Calibri"/>
          <w:b/>
          <w:bCs/>
          <w:sz w:val="18"/>
          <w:szCs w:val="18"/>
        </w:rPr>
        <w:t xml:space="preserve">1987 Constitution of the Republic of the Philippines - Article XII, Sections 2, 7, and 8 on eligibility to acquire private land (checked 2026-08-31)</w:t>
      </w:r>
    </w:p>
    <w:p>
      <w:pPr>
        <w:spacing w:after="120"/>
      </w:pPr>
      <w:hyperlink w:history="1" r:id="rIde_mxpdyuipktnackolibo">
        <w:r>
          <w:rPr>
            <w:rFonts w:ascii="Calibri" w:cs="Calibri" w:eastAsia="Calibri" w:hAnsi="Calibri"/>
            <w:color w:val="315B75"/>
            <w:sz w:val="17"/>
            <w:szCs w:val="17"/>
            <w:u w:val="single"/>
          </w:rPr>
          <w:t xml:space="preserve">https://lawphil.net/consti/cons1987.html</w:t>
        </w:r>
      </w:hyperlink>
    </w:p>
    <w:p>
      <w:pPr>
        <w:keepNext/>
        <w:spacing w:after="60" w:before="100"/>
      </w:pPr>
      <w:r>
        <w:rPr>
          <w:rFonts w:ascii="Calibri" w:cs="Calibri" w:eastAsia="Calibri" w:hAnsi="Calibri"/>
          <w:b/>
          <w:bCs/>
          <w:sz w:val="18"/>
          <w:szCs w:val="18"/>
        </w:rPr>
        <w:t xml:space="preserve">Republic Act No. 4726 — Condominium Act - Unit and common-area interests, master deed, restrictions, liens, condominium corporation, and foreign-interest limits (checked 2026-08-31)</w:t>
      </w:r>
    </w:p>
    <w:p>
      <w:pPr>
        <w:spacing w:after="120"/>
      </w:pPr>
      <w:hyperlink w:history="1" r:id="rIdnuctlrbznsgobghwgsltc">
        <w:r>
          <w:rPr>
            <w:rFonts w:ascii="Calibri" w:cs="Calibri" w:eastAsia="Calibri" w:hAnsi="Calibri"/>
            <w:color w:val="315B75"/>
            <w:sz w:val="17"/>
            <w:szCs w:val="17"/>
            <w:u w:val="single"/>
          </w:rPr>
          <w:t xml:space="preserve">https://lawphil.net/statutes/repacts/ra1966/ra_4726_1966.html</w:t>
        </w:r>
      </w:hyperlink>
    </w:p>
    <w:p>
      <w:pPr>
        <w:keepNext/>
        <w:spacing w:after="60" w:before="100"/>
      </w:pPr>
      <w:r>
        <w:rPr>
          <w:rFonts w:ascii="Calibri" w:cs="Calibri" w:eastAsia="Calibri" w:hAnsi="Calibri"/>
          <w:b/>
          <w:bCs/>
          <w:sz w:val="18"/>
          <w:szCs w:val="18"/>
        </w:rPr>
        <w:t xml:space="preserve">Executive Order No. 209 — Family Code - Article 75 (default regime), Articles 91–93, 109 and 116 (community, conjugal, and exclusive property; presumption), Articles 96 and 124 (disposition without the other spouse's written consent is void), Articles 103 and 130 (liquidation after death; later disposition void) (checked 2026-10-01)</w:t>
      </w:r>
    </w:p>
    <w:p>
      <w:pPr>
        <w:spacing w:after="120"/>
      </w:pPr>
      <w:hyperlink w:history="1" r:id="rIdkp0ww5fociylf1hvaygrf">
        <w:r>
          <w:rPr>
            <w:rFonts w:ascii="Calibri" w:cs="Calibri" w:eastAsia="Calibri" w:hAnsi="Calibri"/>
            <w:color w:val="315B75"/>
            <w:sz w:val="17"/>
            <w:szCs w:val="17"/>
            <w:u w:val="single"/>
          </w:rPr>
          <w:t xml:space="preserve">https://lawphil.net/executive/execord/eo1987/eo_209_1987.html</w:t>
        </w:r>
      </w:hyperlink>
    </w:p>
    <w:p>
      <w:pPr>
        <w:keepNext/>
        <w:spacing w:after="60" w:before="100"/>
      </w:pPr>
      <w:r>
        <w:rPr>
          <w:rFonts w:ascii="Calibri" w:cs="Calibri" w:eastAsia="Calibri" w:hAnsi="Calibri"/>
          <w:b/>
          <w:bCs/>
          <w:sz w:val="18"/>
          <w:szCs w:val="18"/>
        </w:rPr>
        <w:t xml:space="preserve">Presidential Decree No. 957 - Project registration and license, sales warranties, development, mortgage, full-payment title delivery, taxes, and prohibited charges (checked 2026-08-31)</w:t>
      </w:r>
    </w:p>
    <w:p>
      <w:pPr>
        <w:spacing w:after="120"/>
      </w:pPr>
      <w:hyperlink w:history="1" r:id="rIdxbg9vaw-fw0qmqwuy1g75">
        <w:r>
          <w:rPr>
            <w:rFonts w:ascii="Calibri" w:cs="Calibri" w:eastAsia="Calibri" w:hAnsi="Calibri"/>
            <w:color w:val="315B75"/>
            <w:sz w:val="17"/>
            <w:szCs w:val="17"/>
            <w:u w:val="single"/>
          </w:rPr>
          <w:t xml:space="preserve">https://lawphil.net/statutes/presdecs/pd1976/pd_957_1976.html</w:t>
        </w:r>
      </w:hyperlink>
    </w:p>
    <w:p>
      <w:pPr>
        <w:keepNext/>
        <w:spacing w:after="60" w:before="100"/>
      </w:pPr>
      <w:r>
        <w:rPr>
          <w:rFonts w:ascii="Calibri" w:cs="Calibri" w:eastAsia="Calibri" w:hAnsi="Calibri"/>
          <w:b/>
          <w:bCs/>
          <w:sz w:val="18"/>
          <w:szCs w:val="18"/>
        </w:rPr>
        <w:t xml:space="preserve">BIR Form No. 1706 — Capital Gains Tax Return guidelines - Capital-asset classification, statutory tax base, principal-residence exemption routing, and filing and payment within thirty days following the sale (checked 2026-10-01)</w:t>
      </w:r>
    </w:p>
    <w:p>
      <w:pPr>
        <w:spacing w:after="120"/>
      </w:pPr>
      <w:hyperlink w:history="1" r:id="rIdqxpn7ka1znqkgwdd9xwc4">
        <w:r>
          <w:rPr>
            <w:rFonts w:ascii="Calibri" w:cs="Calibri" w:eastAsia="Calibri" w:hAnsi="Calibri"/>
            <w:color w:val="315B75"/>
            <w:sz w:val="17"/>
            <w:szCs w:val="17"/>
            <w:u w:val="single"/>
          </w:rPr>
          <w:t xml:space="preserve">https://bir-cdn.bir.gov.ph/local/pdf/RMC%20No.%209-2023%20Annex%20B%20Attachment.pdf</w:t>
        </w:r>
      </w:hyperlink>
    </w:p>
    <w:p>
      <w:pPr>
        <w:keepNext/>
        <w:spacing w:after="60" w:before="100"/>
      </w:pPr>
      <w:r>
        <w:rPr>
          <w:rFonts w:ascii="Calibri" w:cs="Calibri" w:eastAsia="Calibri" w:hAnsi="Calibri"/>
          <w:b/>
          <w:bCs/>
          <w:sz w:val="18"/>
          <w:szCs w:val="18"/>
        </w:rPr>
        <w:t xml:space="preserve">BIR Form No. 2000-OT — Documentary Stamp Tax guidelines - Real-property conveyance tax base, filing and payment within five days after the close of the month when the document was made, signed, or transferred, and unstamped-document effect (checked 2026-10-01)</w:t>
      </w:r>
    </w:p>
    <w:p>
      <w:pPr>
        <w:spacing w:after="120"/>
      </w:pPr>
      <w:hyperlink w:history="1" r:id="rIdq_8bfbfn4zhcape6xvmeb">
        <w:r>
          <w:rPr>
            <w:rFonts w:ascii="Calibri" w:cs="Calibri" w:eastAsia="Calibri" w:hAnsi="Calibri"/>
            <w:color w:val="315B75"/>
            <w:sz w:val="17"/>
            <w:szCs w:val="17"/>
            <w:u w:val="single"/>
          </w:rPr>
          <w:t xml:space="preserve">https://bir-cdn.bir.gov.ph/local/pdf/2000-OT%20GL%20-%20revised2021.pdf</w:t>
        </w:r>
      </w:hyperlink>
    </w:p>
    <w:p>
      <w:pPr>
        <w:keepNext/>
        <w:spacing w:after="60" w:before="100"/>
      </w:pPr>
      <w:r>
        <w:rPr>
          <w:rFonts w:ascii="Calibri" w:cs="Calibri" w:eastAsia="Calibri" w:hAnsi="Calibri"/>
          <w:b/>
          <w:bCs/>
          <w:sz w:val="18"/>
          <w:szCs w:val="18"/>
        </w:rPr>
        <w:t xml:space="preserve">BIR real-property transfer documentary checklist - Mandatory TIN of Seller and Buyer, notarized deed, title, tax declaration, tax returns, payment, project records, and eCAR/CAR supporting documents (checked 2026-10-01)</w:t>
      </w:r>
    </w:p>
    <w:p>
      <w:pPr>
        <w:spacing w:after="120"/>
      </w:pPr>
      <w:hyperlink w:history="1" r:id="rIddsmerol9yz7asyzxb4upr">
        <w:r>
          <w:rPr>
            <w:rFonts w:ascii="Calibri" w:cs="Calibri" w:eastAsia="Calibri" w:hAnsi="Calibri"/>
            <w:color w:val="315B75"/>
            <w:sz w:val="17"/>
            <w:szCs w:val="17"/>
            <w:u w:val="single"/>
          </w:rPr>
          <w:t xml:space="preserve">https://bir-cdn.bir.gov.ph/BIR/pdf/RMO%20No.%2028-2016%20Annex%20B.pdf</w:t>
        </w:r>
      </w:hyperlink>
    </w:p>
    <w:p>
      <w:pPr>
        <w:keepNext/>
        <w:spacing w:after="60" w:before="100"/>
      </w:pPr>
      <w:r>
        <w:rPr>
          <w:rFonts w:ascii="Calibri" w:cs="Calibri" w:eastAsia="Calibri" w:hAnsi="Calibri"/>
          <w:b/>
          <w:bCs/>
          <w:sz w:val="18"/>
          <w:szCs w:val="18"/>
        </w:rPr>
        <w:t xml:space="preserve">Republic Act No. 8424 — National Internal Revenue Code, as amended - Section 24(D) (6% capital gains tax on the higher of the selling price or fair market value) and Section 51 (return within thirty days following each sale of real property under Section 24(D)) (checked 2026-10-01)</w:t>
      </w:r>
    </w:p>
    <w:p>
      <w:pPr>
        <w:spacing w:after="120"/>
      </w:pPr>
      <w:hyperlink w:history="1" r:id="rIdry62ufkgxrxk2daxz8s1t">
        <w:r>
          <w:rPr>
            <w:rFonts w:ascii="Calibri" w:cs="Calibri" w:eastAsia="Calibri" w:hAnsi="Calibri"/>
            <w:color w:val="315B75"/>
            <w:sz w:val="17"/>
            <w:szCs w:val="17"/>
            <w:u w:val="single"/>
          </w:rPr>
          <w:t xml:space="preserve">https://lawphil.net/statutes/repacts/ra1997/ra_8424_1997.html</w:t>
        </w:r>
      </w:hyperlink>
    </w:p>
    <w:p>
      <w:pPr>
        <w:keepNext/>
        <w:spacing w:after="60" w:before="100"/>
      </w:pPr>
      <w:r>
        <w:rPr>
          <w:rFonts w:ascii="Calibri" w:cs="Calibri" w:eastAsia="Calibri" w:hAnsi="Calibri"/>
          <w:b/>
          <w:bCs/>
          <w:sz w:val="18"/>
          <w:szCs w:val="18"/>
        </w:rPr>
        <w:t xml:space="preserve">Republic Act No. 10963 — TRAIN Law - NIRC Section 196 as amended: documentary stamp tax of PHP 15 for each PHP 1,000 of the consideration or fair market value, whichever is higher (checked 2026-10-01)</w:t>
      </w:r>
    </w:p>
    <w:p>
      <w:pPr>
        <w:spacing w:after="120"/>
      </w:pPr>
      <w:hyperlink w:history="1" r:id="rId5kkud48p5g-pvoyw8ytlv">
        <w:r>
          <w:rPr>
            <w:rFonts w:ascii="Calibri" w:cs="Calibri" w:eastAsia="Calibri" w:hAnsi="Calibri"/>
            <w:color w:val="315B75"/>
            <w:sz w:val="17"/>
            <w:szCs w:val="17"/>
            <w:u w:val="single"/>
          </w:rPr>
          <w:t xml:space="preserve">https://lawphil.net/statutes/repacts/ra2017/ra_10963_2017.html</w:t>
        </w:r>
      </w:hyperlink>
    </w:p>
    <w:p>
      <w:pPr>
        <w:keepNext/>
        <w:spacing w:after="60" w:before="100"/>
      </w:pPr>
      <w:r>
        <w:rPr>
          <w:rFonts w:ascii="Calibri" w:cs="Calibri" w:eastAsia="Calibri" w:hAnsi="Calibri"/>
          <w:b/>
          <w:bCs/>
          <w:sz w:val="18"/>
          <w:szCs w:val="18"/>
        </w:rPr>
        <w:t xml:space="preserve">Republic Act No. 7160 — Local Government Code - Section 135: local transfer tax, the seller's duty to pay within sixty days from execution of the deed; real-property tax clearance and assessor requirements (checked 2026-10-01)</w:t>
      </w:r>
    </w:p>
    <w:p>
      <w:pPr>
        <w:spacing w:after="120"/>
      </w:pPr>
      <w:hyperlink w:history="1" r:id="rIdb_zocgqi_hzxxyn7gnqan">
        <w:r>
          <w:rPr>
            <w:rFonts w:ascii="Calibri" w:cs="Calibri" w:eastAsia="Calibri" w:hAnsi="Calibri"/>
            <w:color w:val="315B75"/>
            <w:sz w:val="17"/>
            <w:szCs w:val="17"/>
            <w:u w:val="single"/>
          </w:rPr>
          <w:t xml:space="preserve">https://lawphil.net/statutes/repacts/ra1991/ra_7160_1991.html</w:t>
        </w:r>
      </w:hyperlink>
    </w:p>
    <w:p>
      <w:pPr>
        <w:keepNext/>
        <w:spacing w:after="60" w:before="100"/>
      </w:pPr>
      <w:r>
        <w:rPr>
          <w:rFonts w:ascii="Calibri" w:cs="Calibri" w:eastAsia="Calibri" w:hAnsi="Calibri"/>
          <w:b/>
          <w:bCs/>
          <w:sz w:val="18"/>
          <w:szCs w:val="18"/>
        </w:rPr>
        <w:t xml:space="preserve">2004 Rules on Notarial Practice - Acknowledgment, personal appearance, competent identity evidence, the representative's authority to sign in that capacity (Rule II, Sec. 1), venue, and notarial certificate (checked 2026-10-01)</w:t>
      </w:r>
    </w:p>
    <w:p>
      <w:pPr>
        <w:spacing w:after="120"/>
      </w:pPr>
      <w:hyperlink w:history="1" r:id="rId1bzi9xdnlferdmhffvn73">
        <w:r>
          <w:rPr>
            <w:rFonts w:ascii="Calibri" w:cs="Calibri" w:eastAsia="Calibri" w:hAnsi="Calibri"/>
            <w:color w:val="315B75"/>
            <w:sz w:val="17"/>
            <w:szCs w:val="17"/>
            <w:u w:val="single"/>
          </w:rPr>
          <w:t xml:space="preserve">https://sc.judiciary.gov.ph/wp-content/uploads/2022/08/02-08-13-SC-1.pdf</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ikvdhpcgzmfq0gpls6qa" Type="http://schemas.openxmlformats.org/officeDocument/2006/relationships/hyperlink" Target="https://lawphil.net/statutes/repacts/ra1949/ra_386_1949.html" TargetMode="External"/><Relationship Id="rIdqbrbuny8xvbzipd8xfrtq" Type="http://schemas.openxmlformats.org/officeDocument/2006/relationships/hyperlink" Target="https://lawphil.net/judjuris/juri2020/nov2020/gr_244232_2020.html" TargetMode="External"/><Relationship Id="rIdblt8ck2jk_egi1ogdhbkh" Type="http://schemas.openxmlformats.org/officeDocument/2006/relationships/hyperlink" Target="https://lawphil.net/statutes/presdecs/pd1978/pd_1529_1978.html" TargetMode="External"/><Relationship Id="rIdx5n7a0fexrwfntyxcd2uj" Type="http://schemas.openxmlformats.org/officeDocument/2006/relationships/hyperlink" Target="https://lra.gov.ph/wp-content/uploads/2022/07/deedofabsolutesale1.pdf" TargetMode="External"/><Relationship Id="rIdrwjfpoe9m7nvse2ip1qs-" Type="http://schemas.openxmlformats.org/officeDocument/2006/relationships/hyperlink" Target="https://www.lra.gov.ph/images/Transparency_Page/X.Memorandum_Circulars/LRA_Circular_No_10-2020_-_Official_List_of_Documents_required_for_Registration_of_Sale_of_Registerd_and_Unregistered_Lands.pdf" TargetMode="External"/><Relationship Id="rId3rzb97dyak6mgy7tf39uc" Type="http://schemas.openxmlformats.org/officeDocument/2006/relationships/hyperlink" Target="https://lra.gov.ph/wp-content/uploads/2022/07/MRI_Form_-_Deed_of_Absolute_Sale_Final_03_revised_20211116_LRAQMSFRM2021003_Revision_0___11-16-2021.pdf" TargetMode="External"/><Relationship Id="rIde_mxpdyuipktnackolibo" Type="http://schemas.openxmlformats.org/officeDocument/2006/relationships/hyperlink" Target="https://lawphil.net/consti/cons1987.html" TargetMode="External"/><Relationship Id="rIdnuctlrbznsgobghwgsltc" Type="http://schemas.openxmlformats.org/officeDocument/2006/relationships/hyperlink" Target="https://lawphil.net/statutes/repacts/ra1966/ra_4726_1966.html" TargetMode="External"/><Relationship Id="rIdkp0ww5fociylf1hvaygrf" Type="http://schemas.openxmlformats.org/officeDocument/2006/relationships/hyperlink" Target="https://lawphil.net/executive/execord/eo1987/eo_209_1987.html" TargetMode="External"/><Relationship Id="rIdxbg9vaw-fw0qmqwuy1g75" Type="http://schemas.openxmlformats.org/officeDocument/2006/relationships/hyperlink" Target="https://lawphil.net/statutes/presdecs/pd1976/pd_957_1976.html" TargetMode="External"/><Relationship Id="rIdqxpn7ka1znqkgwdd9xwc4" Type="http://schemas.openxmlformats.org/officeDocument/2006/relationships/hyperlink" Target="https://bir-cdn.bir.gov.ph/local/pdf/RMC%20No.%209-2023%20Annex%20B%20Attachment.pdf" TargetMode="External"/><Relationship Id="rIdq_8bfbfn4zhcape6xvmeb" Type="http://schemas.openxmlformats.org/officeDocument/2006/relationships/hyperlink" Target="https://bir-cdn.bir.gov.ph/local/pdf/2000-OT%20GL%20-%20revised2021.pdf" TargetMode="External"/><Relationship Id="rIddsmerol9yz7asyzxb4upr" Type="http://schemas.openxmlformats.org/officeDocument/2006/relationships/hyperlink" Target="https://bir-cdn.bir.gov.ph/BIR/pdf/RMO%20No.%2028-2016%20Annex%20B.pdf" TargetMode="External"/><Relationship Id="rIdry62ufkgxrxk2daxz8s1t" Type="http://schemas.openxmlformats.org/officeDocument/2006/relationships/hyperlink" Target="https://lawphil.net/statutes/repacts/ra1997/ra_8424_1997.html" TargetMode="External"/><Relationship Id="rId5kkud48p5g-pvoyw8ytlv" Type="http://schemas.openxmlformats.org/officeDocument/2006/relationships/hyperlink" Target="https://lawphil.net/statutes/repacts/ra2017/ra_10963_2017.html" TargetMode="External"/><Relationship Id="rIdb_zocgqi_hzxxyn7gnqan" Type="http://schemas.openxmlformats.org/officeDocument/2006/relationships/hyperlink" Target="https://lawphil.net/statutes/repacts/ra1991/ra_7160_1991.html" TargetMode="External"/><Relationship Id="rId1bzi9xdnlferdmhffvn73" Type="http://schemas.openxmlformats.org/officeDocument/2006/relationships/hyperlink" Target="https://sc.judiciary.gov.ph/wp-content/uploads/2022/08/02-08-13-SC-1.pdf"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Deed of Absolute Sale</dc:title>
  <dc:creator>LAW.PH</dc:creator>
  <dc:description>Free sample of the Deed of Absolute Sale — Real Property from LAW.PH, with fictional details</dc:description>
  <cp:lastModifiedBy>Un-named</cp:lastModifiedBy>
  <cp:revision>1</cp:revision>
  <dcterms:created xsi:type="dcterms:W3CDTF">2026-10-02T05:29:57.707Z</dcterms:created>
  <dcterms:modified xsi:type="dcterms:W3CDTF">2026-10-02T05:29:57.708Z</dcterms:modified>
</cp:coreProperties>
</file>

<file path=docProps/custom.xml><?xml version="1.0" encoding="utf-8"?>
<Properties xmlns="http://schemas.openxmlformats.org/officeDocument/2006/custom-properties" xmlns:vt="http://schemas.openxmlformats.org/officeDocument/2006/docPropsVTypes"/>
</file>