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FORMAL DEMAND LETTER FOR PAYMENT</w:t>
      </w:r>
    </w:p>
    <w:p>
      <w:pPr>
        <w:spacing w:after="160"/>
        <w:jc w:val="center"/>
      </w:pPr>
      <w:r>
        <w:rPr>
          <w:rFonts w:ascii="Calibri" w:cs="Calibri" w:eastAsia="Calibri" w:hAnsi="Calibri"/>
          <w:color w:val="566674"/>
          <w:sz w:val="18"/>
          <w:szCs w:val="18"/>
        </w:rPr>
        <w:t xml:space="preserve">Republic of the Philippines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keepLines/>
        <w:spacing w:after="120" w:line="264"/>
        <w:jc w:val="both"/>
      </w:pPr>
      <w:r>
        <w:rPr>
          <w:rFonts w:ascii="Calibri" w:cs="Calibri" w:eastAsia="Calibri" w:hAnsi="Calibri"/>
          <w:sz w:val="22"/>
          <w:szCs w:val="22"/>
        </w:rPr>
        <w:t xml:space="preserve">August 30, 2026</w:t>
      </w:r>
    </w:p>
    <w:p>
      <w:pPr>
        <w:keepLines/>
        <w:spacing w:after="120" w:line="264"/>
        <w:jc w:val="both"/>
      </w:pPr>
      <w:r>
        <w:rPr>
          <w:rFonts w:ascii="Calibri" w:cs="Calibri" w:eastAsia="Calibri" w:hAnsi="Calibri"/>
          <w:sz w:val="22"/>
          <w:szCs w:val="22"/>
        </w:rPr>
        <w:t xml:space="preserve">Juan Dela Cruz
20 Kalayaan Avenue, Quezon City 1100
juan@example.com</w:t>
      </w:r>
    </w:p>
    <w:p>
      <w:pPr>
        <w:keepLines/>
        <w:spacing w:after="120" w:line="264"/>
        <w:jc w:val="both"/>
      </w:pPr>
      <w:r>
        <w:rPr>
          <w:rFonts w:ascii="Calibri" w:cs="Calibri" w:eastAsia="Calibri" w:hAnsi="Calibri"/>
          <w:sz w:val="22"/>
          <w:szCs w:val="22"/>
        </w:rPr>
        <w:t xml:space="preserve">SUBJECT: FORMAL DEMAND FOR PAYMENT — Loan Agreement and Promissory Note (LOAN-2026-0115)</w:t>
      </w:r>
    </w:p>
    <w:p>
      <w:pPr>
        <w:keepLines/>
        <w:spacing w:after="120" w:line="264"/>
        <w:jc w:val="both"/>
      </w:pPr>
      <w:r>
        <w:rPr>
          <w:rFonts w:ascii="Calibri" w:cs="Calibri" w:eastAsia="Calibri" w:hAnsi="Calibri"/>
          <w:sz w:val="22"/>
          <w:szCs w:val="22"/>
        </w:rPr>
        <w:t xml:space="preserve">Dear Juan Dela Cruz:</w:t>
      </w:r>
    </w:p>
    <w:p>
      <w:pPr>
        <w:pStyle w:val="Heading2"/>
        <w:keepNext/>
        <w:spacing w:after="120" w:before="240"/>
      </w:pPr>
      <w:r>
        <w:rPr>
          <w:rFonts w:ascii="Calibri" w:cs="Calibri" w:eastAsia="Calibri" w:hAnsi="Calibri"/>
          <w:b/>
          <w:bCs/>
          <w:color w:val="102B3F"/>
          <w:sz w:val="26"/>
          <w:szCs w:val="26"/>
        </w:rPr>
        <w:t xml:space="preserve">Basis of the demand</w:t>
      </w:r>
    </w:p>
    <w:p>
      <w:pPr>
        <w:keepLines/>
        <w:spacing w:after="120" w:line="264"/>
        <w:jc w:val="both"/>
      </w:pPr>
      <w:r>
        <w:rPr>
          <w:rFonts w:ascii="Calibri" w:cs="Calibri" w:eastAsia="Calibri" w:hAnsi="Calibri"/>
          <w:sz w:val="22"/>
          <w:szCs w:val="22"/>
        </w:rPr>
        <w:t xml:space="preserve">This is a formal extrajudicial demand by Maria L. Santos for payment of a due and demandable obligation arising from the loan or credit accommodation identified as Loan Agreement and Promissory Note, dated January 15, 2026, reference LOAN-2026-0115. The Creditor released the agreed loan proceeds and the final unpaid installment became due under the signed repayment schedule.</w:t>
      </w:r>
    </w:p>
    <w:p>
      <w:pPr>
        <w:keepLines/>
        <w:spacing w:after="120" w:line="264"/>
        <w:jc w:val="both"/>
      </w:pPr>
      <w:r>
        <w:rPr>
          <w:rFonts w:ascii="Calibri" w:cs="Calibri" w:eastAsia="Calibri" w:hAnsi="Calibri"/>
          <w:sz w:val="22"/>
          <w:szCs w:val="22"/>
        </w:rPr>
        <w:t xml:space="preserve">Payment became due on August 1, 2026. The Creditor performed or was ready and able to perform the reciprocal obligations required before payment: PHP 100,000 was transferred to the Debtor on January 15, 2026 under transfer reference BPI-0115-7781. This demand is intended to place the Debtor in delay to the extent Article 1169 of the Civil Code requires extrajudicial demand and to preserve the legal effect of written demand under Article 1155.</w:t>
      </w:r>
    </w:p>
    <w:p>
      <w:pPr>
        <w:pStyle w:val="Heading2"/>
        <w:keepNext/>
        <w:spacing w:after="120" w:before="240"/>
      </w:pPr>
      <w:r>
        <w:rPr>
          <w:rFonts w:ascii="Calibri" w:cs="Calibri" w:eastAsia="Calibri" w:hAnsi="Calibri"/>
          <w:b/>
          <w:bCs/>
          <w:color w:val="102B3F"/>
          <w:sz w:val="26"/>
          <w:szCs w:val="26"/>
        </w:rPr>
        <w:t xml:space="preserve">Reconciled claim as of the letter date</w:t>
      </w:r>
    </w:p>
    <w:p>
      <w:pPr>
        <w:keepLines/>
        <w:spacing w:after="120" w:line="264"/>
        <w:jc w:val="both"/>
      </w:pPr>
      <w:r>
        <w:rPr>
          <w:rFonts w:ascii="Calibri" w:cs="Calibri" w:eastAsia="Calibri" w:hAnsi="Calibri"/>
          <w:sz w:val="22"/>
          <w:szCs w:val="22"/>
        </w:rPr>
        <w:t xml:space="preserve">Original principal or invoiced amount: ₱100,000.00.</w:t>
      </w:r>
    </w:p>
    <w:p>
      <w:pPr>
        <w:keepLines/>
        <w:spacing w:after="120" w:line="264"/>
        <w:jc w:val="both"/>
      </w:pPr>
      <w:r>
        <w:rPr>
          <w:rFonts w:ascii="Calibri" w:cs="Calibri" w:eastAsia="Calibri" w:hAnsi="Calibri"/>
          <w:sz w:val="22"/>
          <w:szCs w:val="22"/>
        </w:rPr>
        <w:t xml:space="preserve">Less payments and credits: ₱25,000.00. Application: PHP 25,000 received on July 1, 2026 and applied to principal, after the interest then due had been paid in full on June 30, 2026.</w:t>
      </w:r>
    </w:p>
    <w:p>
      <w:pPr>
        <w:keepLines/>
        <w:spacing w:after="120" w:line="264"/>
        <w:jc w:val="both"/>
      </w:pPr>
      <w:r>
        <w:rPr>
          <w:rFonts w:ascii="Calibri" w:cs="Calibri" w:eastAsia="Calibri" w:hAnsi="Calibri"/>
          <w:sz w:val="22"/>
          <w:szCs w:val="22"/>
        </w:rPr>
        <w:t xml:space="preserve">Outstanding principal: ₱75,000.00.</w:t>
      </w:r>
    </w:p>
    <w:p>
      <w:pPr>
        <w:keepLines/>
        <w:spacing w:after="120" w:line="264"/>
        <w:jc w:val="both"/>
      </w:pPr>
      <w:r>
        <w:rPr>
          <w:rFonts w:ascii="Calibri" w:cs="Calibri" w:eastAsia="Calibri" w:hAnsi="Calibri"/>
          <w:sz w:val="22"/>
          <w:szCs w:val="22"/>
        </w:rPr>
        <w:t xml:space="preserve">Accrued simple interest: ₱739.73, calculated on ₱75,000.00 at 12% per year for 30 actual days from July 31, 2026 through August 30, 2026, using actual days divided by 365 and no compounding. Written basis: The unpaid principal bears simple interest at twelve percent per year using actual days divided by 365. The rate and resulting charge remain subject to mandatory law and equitable reduction if unconscionable.</w:t>
      </w:r>
    </w:p>
    <w:p>
      <w:pPr>
        <w:keepLines/>
        <w:spacing w:after="120" w:line="264"/>
        <w:jc w:val="both"/>
      </w:pPr>
      <w:r>
        <w:rPr>
          <w:rFonts w:ascii="Calibri" w:cs="Calibri" w:eastAsia="Calibri" w:hAnsi="Calibri"/>
          <w:sz w:val="22"/>
          <w:szCs w:val="22"/>
        </w:rPr>
        <w:t xml:space="preserve">Other itemized charges: ₱500.00. Basis: Documented courier and bank-return cost expressly recoverable under Section 8 of the signed Loan Agreement.</w:t>
      </w:r>
    </w:p>
    <w:p>
      <w:pPr>
        <w:keepLines/>
        <w:spacing w:after="120" w:line="264"/>
        <w:jc w:val="both"/>
      </w:pPr>
      <w:r>
        <w:rPr>
          <w:rFonts w:ascii="Calibri" w:cs="Calibri" w:eastAsia="Calibri" w:hAnsi="Calibri"/>
          <w:sz w:val="22"/>
          <w:szCs w:val="22"/>
        </w:rPr>
        <w:t xml:space="preserve">TOTAL AMOUNT DEMANDED AS OF AUGUST 30, 2026: ₱76,239.73.</w:t>
      </w:r>
    </w:p>
    <w:p>
      <w:pPr>
        <w:keepLines/>
        <w:spacing w:after="120" w:line="264"/>
        <w:jc w:val="both"/>
      </w:pPr>
      <w:r>
        <w:rPr>
          <w:rFonts w:ascii="Calibri" w:cs="Calibri" w:eastAsia="Calibri" w:hAnsi="Calibri"/>
          <w:sz w:val="22"/>
          <w:szCs w:val="22"/>
        </w:rPr>
        <w:t xml:space="preserve">Supporting records: Signed Loan Agreement, bank release record, repayment schedule, payment ledger, and prior receipts. The Debtor may request a legible copy or corrected reconciliation using the contact below.</w:t>
      </w:r>
    </w:p>
    <w:p>
      <w:pPr>
        <w:pStyle w:val="Heading2"/>
        <w:keepNext/>
        <w:spacing w:after="120" w:before="240"/>
      </w:pPr>
      <w:r>
        <w:rPr>
          <w:rFonts w:ascii="Calibri" w:cs="Calibri" w:eastAsia="Calibri" w:hAnsi="Calibri"/>
          <w:b/>
          <w:bCs/>
          <w:color w:val="102B3F"/>
          <w:sz w:val="26"/>
          <w:szCs w:val="26"/>
        </w:rPr>
        <w:t xml:space="preserve">Demand, deadline, and payment</w:t>
      </w:r>
    </w:p>
    <w:p>
      <w:pPr>
        <w:keepLines/>
        <w:spacing w:after="120" w:line="264"/>
        <w:jc w:val="both"/>
      </w:pPr>
      <w:r>
        <w:rPr>
          <w:rFonts w:ascii="Calibri" w:cs="Calibri" w:eastAsia="Calibri" w:hAnsi="Calibri"/>
          <w:sz w:val="22"/>
          <w:szCs w:val="22"/>
        </w:rPr>
        <w:t xml:space="preserve">The Creditor hereby demands cleared payment of ₱76,239.73 no later than September 9, 2026. Payment must be made by bank transfer to the Creditor's account stated in the attached signed payment instruction. Before paying, the Debtor may obtain a same-day payoff confirmation or corrected ledger from the Creditor at the notice details stated in this letter.</w:t>
      </w:r>
    </w:p>
    <w:p>
      <w:pPr>
        <w:keepLines/>
        <w:spacing w:after="120" w:line="264"/>
        <w:jc w:val="both"/>
      </w:pPr>
      <w:r>
        <w:rPr>
          <w:rFonts w:ascii="Calibri" w:cs="Calibri" w:eastAsia="Calibri" w:hAnsi="Calibri"/>
          <w:sz w:val="22"/>
          <w:szCs w:val="22"/>
        </w:rPr>
        <w:t xml:space="preserve">Interest continues to accrue after August 30, 2026 at the stipulated rate of 12% per year on the unpaid principal until full payment, so the payoff amount on the actual payment date will be higher than the total stated above. The Creditor also reserves legal interest on interest due from the time it is judicially demanded (Civil Code Article 2212).</w:t>
      </w:r>
    </w:p>
    <w:p>
      <w:pPr>
        <w:keepLines/>
        <w:spacing w:after="120" w:line="264"/>
        <w:jc w:val="both"/>
      </w:pPr>
      <w:r>
        <w:rPr>
          <w:rFonts w:ascii="Calibri" w:cs="Calibri" w:eastAsia="Calibri" w:hAnsi="Calibri"/>
          <w:sz w:val="22"/>
          <w:szCs w:val="22"/>
        </w:rPr>
        <w:t xml:space="preserve">Acceptance of any partial payment is without prejudice to the unpaid balance and to all accrued and accruing interest and charges, which are expressly reserved and are not presumed paid (Civil Code Article 1176). Unless the agreement provides otherwise, a payment is applied first to interest then due (Civil Code Article 1253).</w:t>
      </w:r>
    </w:p>
    <w:p>
      <w:pPr>
        <w:keepLines/>
        <w:spacing w:after="120" w:line="264"/>
        <w:jc w:val="both"/>
      </w:pPr>
      <w:r>
        <w:rPr>
          <w:rFonts w:ascii="Calibri" w:cs="Calibri" w:eastAsia="Calibri" w:hAnsi="Calibri"/>
          <w:sz w:val="22"/>
          <w:szCs w:val="22"/>
        </w:rPr>
        <w:t xml:space="preserve">If full payment by the deadline is genuinely impossible, the Creditor will consider—but is not required to accept—a concrete written proposal received before the deadline. Parameters: A concrete written proposal identifying down payment, dates, amounts, and security may be considered before the deadline without waiving the full claim. No extension, compromise, novation, waiver, or installment arrangement exists unless the Creditor accepts a complete proposal in a signed writing.</w:t>
      </w:r>
    </w:p>
    <w:p>
      <w:pPr>
        <w:keepLines/>
        <w:spacing w:after="120" w:line="264"/>
        <w:jc w:val="both"/>
      </w:pPr>
      <w:r>
        <w:rPr>
          <w:rFonts w:ascii="Calibri" w:cs="Calibri" w:eastAsia="Calibri" w:hAnsi="Calibri"/>
          <w:sz w:val="22"/>
          <w:szCs w:val="22"/>
        </w:rPr>
        <w:t xml:space="preserve">A payment is credited only when received in cleared funds and will be acknowledged in an updated ledger and receipt.</w:t>
      </w:r>
    </w:p>
    <w:p>
      <w:pPr>
        <w:pStyle w:val="Heading2"/>
        <w:keepNext/>
        <w:spacing w:after="120" w:before="240"/>
      </w:pPr>
      <w:r>
        <w:rPr>
          <w:rFonts w:ascii="Calibri" w:cs="Calibri" w:eastAsia="Calibri" w:hAnsi="Calibri"/>
          <w:b/>
          <w:bCs/>
          <w:color w:val="102B3F"/>
          <w:sz w:val="26"/>
          <w:szCs w:val="26"/>
        </w:rPr>
        <w:t xml:space="preserve">Dispute and correction channel</w:t>
      </w:r>
    </w:p>
    <w:p>
      <w:pPr>
        <w:keepLines/>
        <w:spacing w:after="120" w:line="264"/>
        <w:jc w:val="both"/>
      </w:pPr>
      <w:r>
        <w:rPr>
          <w:rFonts w:ascii="Calibri" w:cs="Calibri" w:eastAsia="Calibri" w:hAnsi="Calibri"/>
          <w:sz w:val="22"/>
          <w:szCs w:val="22"/>
        </w:rPr>
        <w:t xml:space="preserve">The Creditor is not aware of a specific unresolved dispute about liability, performance, payments, credits, or calculation. If the Debtor disputes any item, the Debtor should identify the exact item, factual and contractual basis, requested correction, and supporting record in writing before the deadline.</w:t>
      </w:r>
    </w:p>
    <w:p>
      <w:pPr>
        <w:keepLines/>
        <w:spacing w:after="120" w:line="264"/>
        <w:jc w:val="both"/>
      </w:pPr>
      <w:r>
        <w:rPr>
          <w:rFonts w:ascii="Calibri" w:cs="Calibri" w:eastAsia="Calibri" w:hAnsi="Calibri"/>
          <w:sz w:val="22"/>
          <w:szCs w:val="22"/>
        </w:rPr>
        <w:t xml:space="preserve">This letter does not rely on an undocumented earlier demand. Its delivery evidence should be retained with the claim file.</w:t>
      </w:r>
    </w:p>
    <w:p>
      <w:pPr>
        <w:keepLines/>
        <w:spacing w:after="120" w:line="264"/>
        <w:jc w:val="both"/>
      </w:pPr>
      <w:r>
        <w:rPr>
          <w:rFonts w:ascii="Calibri" w:cs="Calibri" w:eastAsia="Calibri" w:hAnsi="Calibri"/>
          <w:sz w:val="22"/>
          <w:szCs w:val="22"/>
        </w:rPr>
        <w:t xml:space="preserve">A good-faith request for verification does not authorize concealment or delay, and it does not waive the undisputed portion. The Creditor will review a specific, documented objection and correct a verified ledger error promptly.</w:t>
      </w:r>
    </w:p>
    <w:p>
      <w:pPr>
        <w:pStyle w:val="Heading2"/>
        <w:keepNext/>
        <w:spacing w:after="120" w:before="240"/>
      </w:pPr>
      <w:r>
        <w:rPr>
          <w:rFonts w:ascii="Calibri" w:cs="Calibri" w:eastAsia="Calibri" w:hAnsi="Calibri"/>
          <w:b/>
          <w:bCs/>
          <w:color w:val="102B3F"/>
          <w:sz w:val="26"/>
          <w:szCs w:val="26"/>
        </w:rPr>
        <w:t xml:space="preserve">Potential next lawful step</w:t>
      </w:r>
    </w:p>
    <w:p>
      <w:pPr>
        <w:keepLines/>
        <w:spacing w:after="120" w:line="264"/>
        <w:jc w:val="both"/>
      </w:pPr>
      <w:r>
        <w:rPr>
          <w:rFonts w:ascii="Calibri" w:cs="Calibri" w:eastAsia="Calibri" w:hAnsi="Calibri"/>
          <w:sz w:val="22"/>
          <w:szCs w:val="22"/>
        </w:rPr>
        <w:t xml:space="preserve">The interview does not establish that both parties actually reside in the same city or municipality or qualifying adjoining barangays. The residence, exception, and pre-filing facts must be verified before choosing a forum.</w:t>
      </w:r>
    </w:p>
    <w:p>
      <w:pPr>
        <w:keepLines/>
        <w:spacing w:after="120" w:line="264"/>
        <w:jc w:val="both"/>
      </w:pPr>
      <w:r>
        <w:rPr>
          <w:rFonts w:ascii="Calibri" w:cs="Calibri" w:eastAsia="Calibri" w:hAnsi="Calibri"/>
          <w:sz w:val="22"/>
          <w:szCs w:val="22"/>
        </w:rPr>
        <w:t xml:space="preserve">If the demand remains unresolved after every prerequisite, the Creditor presently intends to consider the Supreme Court small-claims procedure. The principal claim of ₱75,500.00 (outstanding principal plus other itemized charges), exclusive of interest and costs, is within the PHP 1,000,000 small-claims limit under A.M. No. 08-8-7-SC for the selected obligation type. Jurisdiction, venue, forms, evidence, parties, service, limitation periods, and current rules must still be confirmed at filing.</w:t>
      </w:r>
    </w:p>
    <w:p>
      <w:pPr>
        <w:keepLines/>
        <w:spacing w:after="120" w:line="264"/>
        <w:jc w:val="both"/>
      </w:pPr>
      <w:r>
        <w:rPr>
          <w:rFonts w:ascii="Calibri" w:cs="Calibri" w:eastAsia="Calibri" w:hAnsi="Calibri"/>
          <w:sz w:val="22"/>
          <w:szCs w:val="22"/>
        </w:rPr>
        <w:t xml:space="preserve">Nothing in this letter threatens arrest, imprisonment, criminal prosecution, public exposure, employer or family contact, credit blacklisting, seizure, garnishment, foreclosure, repossession, or guaranteed judgment as an automatic consequence of nonpayment. A civil debt and its enforcement remain subject to applicable law and lawful process.</w:t>
      </w:r>
    </w:p>
    <w:p>
      <w:pPr>
        <w:pStyle w:val="Heading2"/>
        <w:keepNext/>
        <w:spacing w:after="120" w:before="240"/>
      </w:pPr>
      <w:r>
        <w:rPr>
          <w:rFonts w:ascii="Calibri" w:cs="Calibri" w:eastAsia="Calibri" w:hAnsi="Calibri"/>
          <w:b/>
          <w:bCs/>
          <w:color w:val="102B3F"/>
          <w:sz w:val="26"/>
          <w:szCs w:val="26"/>
        </w:rPr>
        <w:t xml:space="preserve">Collection conduct and privacy</w:t>
      </w:r>
    </w:p>
    <w:p>
      <w:pPr>
        <w:keepLines/>
        <w:spacing w:after="120" w:line="264"/>
        <w:jc w:val="both"/>
      </w:pPr>
      <w:r>
        <w:rPr>
          <w:rFonts w:ascii="Calibri" w:cs="Calibri" w:eastAsia="Calibri" w:hAnsi="Calibri"/>
          <w:sz w:val="22"/>
          <w:szCs w:val="22"/>
        </w:rPr>
        <w:t xml:space="preserve">Even though the Creditor is not identified as a regulated financial service provider, collection must remain accurate, proportionate, confidential, and directed to the Debtor or an authorized representative. Personal data may be used and disclosed only for a lawful, necessary, and secure collection purpose.</w:t>
      </w:r>
    </w:p>
    <w:p>
      <w:pPr>
        <w:keepLines/>
        <w:spacing w:after="120" w:line="264"/>
        <w:jc w:val="both"/>
      </w:pPr>
      <w:r>
        <w:rPr>
          <w:rFonts w:ascii="Calibri" w:cs="Calibri" w:eastAsia="Calibri" w:hAnsi="Calibri"/>
          <w:sz w:val="22"/>
          <w:szCs w:val="22"/>
        </w:rPr>
        <w:t xml:space="preserve">The Creditor and every agent shall not harass, intimidate, insult, deceive, repeatedly contact at unreasonable times, impersonate an authority, disclose the debt to unrelated persons, harvest contact lists, or publish personal or debt information. The Debtor may designate a reasonable contact channel without preventing service required by law.</w:t>
      </w:r>
    </w:p>
    <w:p>
      <w:pPr>
        <w:pStyle w:val="Heading2"/>
        <w:keepNext/>
        <w:spacing w:after="120" w:before="240"/>
      </w:pPr>
      <w:r>
        <w:rPr>
          <w:rFonts w:ascii="Calibri" w:cs="Calibri" w:eastAsia="Calibri" w:hAnsi="Calibri"/>
          <w:b/>
          <w:bCs/>
          <w:color w:val="102B3F"/>
          <w:sz w:val="26"/>
          <w:szCs w:val="26"/>
        </w:rPr>
        <w:t xml:space="preserve">Delivery and preservation of proof</w:t>
      </w:r>
    </w:p>
    <w:p>
      <w:pPr>
        <w:keepLines/>
        <w:spacing w:after="120" w:line="264"/>
        <w:jc w:val="both"/>
      </w:pPr>
      <w:r>
        <w:rPr>
          <w:rFonts w:ascii="Calibri" w:cs="Calibri" w:eastAsia="Calibri" w:hAnsi="Calibri"/>
          <w:sz w:val="22"/>
          <w:szCs w:val="22"/>
        </w:rPr>
        <w:t xml:space="preserve">This demand will be sent by reputable courier with tracking and delivery confirmation; email with transmission records and available receipt evidence. The sender shall retain the exact final letter, every attachment, envelope or message headers, tracking number, signed receipt, delivery status, returned-mail record, and any response. Delivery must also satisfy the underlying agreement's notice clause where applicable.</w:t>
      </w:r>
    </w:p>
    <w:p>
      <w:pPr>
        <w:keepLines/>
        <w:spacing w:after="120" w:line="264"/>
        <w:jc w:val="both"/>
      </w:pPr>
      <w:r>
        <w:rPr>
          <w:rFonts w:ascii="Calibri" w:cs="Calibri" w:eastAsia="Calibri" w:hAnsi="Calibri"/>
          <w:sz w:val="22"/>
          <w:szCs w:val="22"/>
        </w:rPr>
        <w:t xml:space="preserve">Subject to Republic Act No. 8792 and applicable evidentiary rules, a reliable electronic signature and electronic copy may be used. The sender shall preserve identity, authority, intent, integrity, and transmission evidence.</w:t>
      </w:r>
    </w:p>
    <w:p>
      <w:pPr>
        <w:keepLines/>
        <w:spacing w:after="120" w:line="264"/>
        <w:jc w:val="both"/>
      </w:pPr>
      <w:r>
        <w:rPr>
          <w:rFonts w:ascii="Calibri" w:cs="Calibri" w:eastAsia="Calibri" w:hAnsi="Calibri"/>
          <w:sz w:val="22"/>
          <w:szCs w:val="22"/>
        </w:rPr>
        <w:t xml:space="preserve">Sincerely,</w:t>
      </w:r>
    </w:p>
    <w:p>
      <w:pPr>
        <w:keepLines/>
        <w:spacing w:after="120" w:line="264"/>
        <w:jc w:val="both"/>
      </w:pPr>
      <w:r>
        <w:rPr>
          <w:rFonts w:ascii="Calibri" w:cs="Calibri" w:eastAsia="Calibri" w:hAnsi="Calibri"/>
          <w:sz w:val="22"/>
          <w:szCs w:val="22"/>
        </w:rPr>
        <w:t xml:space="preserve">Maria L. Santos</w:t>
      </w:r>
    </w:p>
    <w:p>
      <w:pPr>
        <w:keepLines/>
        <w:spacing w:after="120" w:line="264"/>
        <w:jc w:val="both"/>
      </w:pPr>
      <w:r>
        <w:rPr>
          <w:rFonts w:ascii="Calibri" w:cs="Calibri" w:eastAsia="Calibri" w:hAnsi="Calibri"/>
          <w:sz w:val="22"/>
          <w:szCs w:val="22"/>
        </w:rPr>
        <w:t xml:space="preserve">Contact: maria@example.com</w:t>
      </w:r>
    </w:p>
    <w:p>
      <w:pPr>
        <w:keepNext/>
        <w:spacing w:after="260" w:before="360"/>
      </w:pPr>
      <w:r>
        <w:rPr>
          <w:rFonts w:ascii="Calibri" w:cs="Calibri" w:eastAsia="Calibri" w:hAnsi="Calibri"/>
          <w:b/>
          <w:bCs/>
          <w:sz w:val="22"/>
          <w:szCs w:val="22"/>
        </w:rPr>
        <w:t xml:space="preserve">Signed by the Creditor:</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Maria L. Santos</w:t>
            </w:r>
          </w:p>
          <w:p>
            <w:pPr>
              <w:spacing w:after="120"/>
            </w:pPr>
            <w:r>
              <w:rPr>
                <w:rFonts w:ascii="Calibri" w:cs="Calibri" w:eastAsia="Calibri" w:hAnsi="Calibri"/>
                <w:sz w:val="22"/>
                <w:szCs w:val="22"/>
              </w:rPr>
              <w:t xml:space="preserve">Signature: ______________________________</w:t>
            </w:r>
          </w:p>
          <w:p>
            <w:pPr>
              <w:spacing w:after="120"/>
            </w:pPr>
            <w:r>
              <w:rPr>
                <w:rFonts w:ascii="Calibri" w:cs="Calibri" w:eastAsia="Calibri" w:hAnsi="Calibri"/>
                <w:sz w:val="22"/>
                <w:szCs w:val="22"/>
              </w:rPr>
              <w:t xml:space="preserve">Creditor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Reconcile the final claim to source records: signed agreement, invoices, performance or delivery proof, maturity, original amount, every payment and credit, interest authority, charge authority, and ledger math.</w:t>
      </w:r>
    </w:p>
    <w:p>
      <w:pPr>
        <w:pStyle w:val="ListParagraph"/>
        <w:keepNext/>
        <w:numPr>
          <w:ilvl w:val="0"/>
          <w:numId w:val="1"/>
        </w:numPr>
        <w:spacing w:after="120" w:line="264"/>
      </w:pPr>
      <w:r>
        <w:rPr>
          <w:rFonts w:ascii="Calibri" w:cs="Calibri" w:eastAsia="Calibri" w:hAnsi="Calibri"/>
          <w:sz w:val="22"/>
          <w:szCs w:val="22"/>
        </w:rPr>
        <w:t xml:space="preserve">Confirm that ₱76,239.73 is still accurate on the actual sending date; update interest-through date, receipts, credits, payoff amount, deadline, and attachments before delivery.</w:t>
      </w:r>
    </w:p>
    <w:p>
      <w:pPr>
        <w:pStyle w:val="ListParagraph"/>
        <w:keepNext/>
        <w:numPr>
          <w:ilvl w:val="0"/>
          <w:numId w:val="1"/>
        </w:numPr>
        <w:spacing w:after="120" w:line="264"/>
      </w:pPr>
      <w:r>
        <w:rPr>
          <w:rFonts w:ascii="Calibri" w:cs="Calibri" w:eastAsia="Calibri" w:hAnsi="Calibri"/>
          <w:sz w:val="22"/>
          <w:szCs w:val="22"/>
        </w:rPr>
        <w:t xml:space="preserve">Compare the quoted interest clause, rate, base, period, payment application, and non-compounding calculation against the complete signed instrument and current Philippine interest jurisprudence.</w:t>
      </w:r>
    </w:p>
    <w:p>
      <w:pPr>
        <w:pStyle w:val="ListParagraph"/>
        <w:keepNext/>
        <w:numPr>
          <w:ilvl w:val="0"/>
          <w:numId w:val="1"/>
        </w:numPr>
        <w:spacing w:after="120" w:line="264"/>
      </w:pPr>
      <w:r>
        <w:rPr>
          <w:rFonts w:ascii="Calibri" w:cs="Calibri" w:eastAsia="Calibri" w:hAnsi="Calibri"/>
          <w:sz w:val="22"/>
          <w:szCs w:val="22"/>
        </w:rPr>
        <w:t xml:space="preserve">Document the actual-residence, juridical-party, adjoining-barangay, urgent-action, or other facts supporting the selected barangay route before filing.</w:t>
      </w:r>
    </w:p>
    <w:p>
      <w:pPr>
        <w:pStyle w:val="ListParagraph"/>
        <w:keepNext/>
        <w:numPr>
          <w:ilvl w:val="0"/>
          <w:numId w:val="1"/>
        </w:numPr>
        <w:spacing w:after="120" w:line="264"/>
      </w:pPr>
      <w:r>
        <w:rPr>
          <w:rFonts w:ascii="Calibri" w:cs="Calibri" w:eastAsia="Calibri" w:hAnsi="Calibri"/>
          <w:sz w:val="22"/>
          <w:szCs w:val="22"/>
        </w:rPr>
        <w:t xml:space="preserve">Download the current Supreme Court small-claims forms and instructions, verify on filing day that the principal claim, exclusive of interest and costs, is within the PHP 1,000,000 limit and that the claim type is covered, complete prerequisites, organize originals/copies and electronic filing, and confirm the proper first-level court.</w:t>
      </w:r>
    </w:p>
    <w:p>
      <w:pPr>
        <w:pStyle w:val="ListParagraph"/>
        <w:keepNext/>
        <w:numPr>
          <w:ilvl w:val="0"/>
          <w:numId w:val="1"/>
        </w:numPr>
        <w:spacing w:after="120" w:line="264"/>
      </w:pPr>
      <w:r>
        <w:rPr>
          <w:rFonts w:ascii="Calibri" w:cs="Calibri" w:eastAsia="Calibri" w:hAnsi="Calibri"/>
          <w:sz w:val="22"/>
          <w:szCs w:val="22"/>
        </w:rPr>
        <w:t xml:space="preserve">Send the exact signed letter and attachments through every selected channel, comply with the contract notice clause, and preserve complete proof of dispatch, delivery, refusal, return, and response.</w:t>
      </w:r>
    </w:p>
    <w:p>
      <w:pPr>
        <w:pStyle w:val="ListParagraph"/>
        <w:keepNext/>
        <w:numPr>
          <w:ilvl w:val="0"/>
          <w:numId w:val="1"/>
        </w:numPr>
        <w:spacing w:after="120" w:line="264"/>
      </w:pPr>
      <w:r>
        <w:rPr>
          <w:rFonts w:ascii="Calibri" w:cs="Calibri" w:eastAsia="Calibri" w:hAnsi="Calibri"/>
          <w:sz w:val="22"/>
          <w:szCs w:val="22"/>
        </w:rPr>
        <w:t xml:space="preserve">Limit collection contacts and personal-data use to what is accurate, necessary, proportionate, confidential, and lawfully authorized.</w:t>
      </w:r>
    </w:p>
    <w:p>
      <w:pPr>
        <w:pStyle w:val="ListParagraph"/>
        <w:keepNext w:val="false"/>
        <w:numPr>
          <w:ilvl w:val="0"/>
          <w:numId w:val="1"/>
        </w:numPr>
        <w:spacing w:after="120" w:line="264"/>
      </w:pPr>
      <w:r>
        <w:rPr>
          <w:rFonts w:ascii="Calibri" w:cs="Calibri" w:eastAsia="Calibri" w:hAnsi="Calibri"/>
          <w:sz w:val="22"/>
          <w:szCs w:val="22"/>
        </w:rPr>
        <w:t xml:space="preserve">Calendar the response deadline and all prescription, barangay, contractual cure, court and enforcement dates; a demand letter does not stop every possible limitation or procedural period.</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2026-08-30 onward, subject to the recorded review cycle | Independent Philippine lawyer review pending | Last legal check 2026-10-01 | Next review due 2027-01-01</w:t>
      </w:r>
    </w:p>
    <w:p>
      <w:pPr>
        <w:keepNext/>
        <w:spacing w:after="60" w:before="100"/>
      </w:pPr>
      <w:r>
        <w:rPr>
          <w:rFonts w:ascii="Calibri" w:cs="Calibri" w:eastAsia="Calibri" w:hAnsi="Calibri"/>
          <w:b/>
          <w:bCs/>
          <w:sz w:val="18"/>
          <w:szCs w:val="18"/>
        </w:rPr>
        <w:t xml:space="preserve">Civil Code of the Philippines (Republic Act No. 386) - Arts. 1155, 1159, 1169–1173, 1176, 1191, 1232–1253, 1956, and 2208–2212 on written extrajudicial demand, delay, reciprocal performance, reservation of interest, payment application, interest, expenses, and damages (checked 2026-10-01)</w:t>
      </w:r>
    </w:p>
    <w:p>
      <w:pPr>
        <w:spacing w:after="120"/>
      </w:pPr>
      <w:hyperlink w:history="1" r:id="rIdyek3mxf4xydof2kbd83io">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Lara's Gifts &amp; Decors, Inc. v. Midtown Industrial Sales, Inc., G.R. No. 225433 (En Banc, September 20, 2022) - Current guidelines on conventional, compensatory, and adjudged interest; legal interest of 6% per annum from judicial or extrajudicial demand; equitable reduction of unconscionable rates (checked 2026-10-01)</w:t>
      </w:r>
    </w:p>
    <w:p>
      <w:pPr>
        <w:spacing w:after="120"/>
      </w:pPr>
      <w:hyperlink w:history="1" r:id="rIdfxlwluaixtbwt9uulnt-v">
        <w:r>
          <w:rPr>
            <w:rFonts w:ascii="Calibri" w:cs="Calibri" w:eastAsia="Calibri" w:hAnsi="Calibri"/>
            <w:color w:val="315B75"/>
            <w:sz w:val="17"/>
            <w:szCs w:val="17"/>
            <w:u w:val="single"/>
          </w:rPr>
          <w:t xml:space="preserve">https://lawphil.net/judjuris/juri2022/sep2022/gr_225433_2022.html</w:t>
        </w:r>
      </w:hyperlink>
    </w:p>
    <w:p>
      <w:pPr>
        <w:keepNext/>
        <w:spacing w:after="60" w:before="100"/>
      </w:pPr>
      <w:r>
        <w:rPr>
          <w:rFonts w:ascii="Calibri" w:cs="Calibri" w:eastAsia="Calibri" w:hAnsi="Calibri"/>
          <w:b/>
          <w:bCs/>
          <w:sz w:val="18"/>
          <w:szCs w:val="18"/>
        </w:rPr>
        <w:t xml:space="preserve">Nacar v. Gallery Frames, G.R. No. 189871 (En Banc, August 13, 2013) - Legal interest of 6% per annum from July 1, 2013 and interest as damages for delay running from demand (checked 2026-10-01)</w:t>
      </w:r>
    </w:p>
    <w:p>
      <w:pPr>
        <w:spacing w:after="120"/>
      </w:pPr>
      <w:hyperlink w:history="1" r:id="rIdp3dopquj8zstcgxpc7pfk">
        <w:r>
          <w:rPr>
            <w:rFonts w:ascii="Calibri" w:cs="Calibri" w:eastAsia="Calibri" w:hAnsi="Calibri"/>
            <w:color w:val="315B75"/>
            <w:sz w:val="17"/>
            <w:szCs w:val="17"/>
            <w:u w:val="single"/>
          </w:rPr>
          <w:t xml:space="preserve">https://lawphil.net/judjuris/juri2013/aug2013/gr_189871_2013.html</w:t>
        </w:r>
      </w:hyperlink>
    </w:p>
    <w:p>
      <w:pPr>
        <w:keepNext/>
        <w:spacing w:after="60" w:before="100"/>
      </w:pPr>
      <w:r>
        <w:rPr>
          <w:rFonts w:ascii="Calibri" w:cs="Calibri" w:eastAsia="Calibri" w:hAnsi="Calibri"/>
          <w:b/>
          <w:bCs/>
          <w:sz w:val="18"/>
          <w:szCs w:val="18"/>
        </w:rPr>
        <w:t xml:space="preserve">Rules on Expedited Procedures in the First Level Courts (A.M. No. 08-8-7-SC, effective April 11, 2022) - Rule I Sec. 1(A)(2): small claims where the claim does not exceed PHP 1,000,000, exclusive of interest and costs; Rule IV Sec. 6 on joinder (total exclusive of interest and costs); covered lease, loan/credit, service, personal-property sale, and barangay-award money claims (checked 2026-10-01)</w:t>
      </w:r>
    </w:p>
    <w:p>
      <w:pPr>
        <w:spacing w:after="120"/>
      </w:pPr>
      <w:hyperlink w:history="1" r:id="rIdu7bmlmxepucpe1pydvd-h">
        <w:r>
          <w:rPr>
            <w:rFonts w:ascii="Calibri" w:cs="Calibri" w:eastAsia="Calibri" w:hAnsi="Calibri"/>
            <w:color w:val="315B75"/>
            <w:sz w:val="17"/>
            <w:szCs w:val="17"/>
            <w:u w:val="single"/>
          </w:rPr>
          <w:t xml:space="preserve">https://sc.judiciary.gov.ph/wp-content/uploads/2022/11/08-8-7-SC-1.pdf</w:t>
        </w:r>
      </w:hyperlink>
    </w:p>
    <w:p>
      <w:pPr>
        <w:keepNext/>
        <w:spacing w:after="60" w:before="100"/>
      </w:pPr>
      <w:r>
        <w:rPr>
          <w:rFonts w:ascii="Calibri" w:cs="Calibri" w:eastAsia="Calibri" w:hAnsi="Calibri"/>
          <w:b/>
          <w:bCs/>
          <w:sz w:val="18"/>
          <w:szCs w:val="18"/>
        </w:rPr>
        <w:t xml:space="preserve">Supreme Court Circular No. 14-93 on Katarungang Pambarangay - Pre-filing conciliation, individual-party and residence limits, exceptions, and certificate-to-file requirements (checked 2026-08-30)</w:t>
      </w:r>
    </w:p>
    <w:p>
      <w:pPr>
        <w:spacing w:after="120"/>
      </w:pPr>
      <w:hyperlink w:history="1" r:id="rIdzr_yyrnb5g6qurzcmwvax">
        <w:r>
          <w:rPr>
            <w:rFonts w:ascii="Calibri" w:cs="Calibri" w:eastAsia="Calibri" w:hAnsi="Calibri"/>
            <w:color w:val="315B75"/>
            <w:sz w:val="17"/>
            <w:szCs w:val="17"/>
            <w:u w:val="single"/>
          </w:rPr>
          <w:t xml:space="preserve">https://lawphil.net/courts/supreme/ac/ac_14_1993.html</w:t>
        </w:r>
      </w:hyperlink>
    </w:p>
    <w:p>
      <w:pPr>
        <w:keepNext/>
        <w:spacing w:after="60" w:before="100"/>
      </w:pPr>
      <w:r>
        <w:rPr>
          <w:rFonts w:ascii="Calibri" w:cs="Calibri" w:eastAsia="Calibri" w:hAnsi="Calibri"/>
          <w:b/>
          <w:bCs/>
          <w:sz w:val="18"/>
          <w:szCs w:val="18"/>
        </w:rPr>
        <w:t xml:space="preserve">Financial Products and Services Consumer Protection Act (Republic Act No. 11765) - Fair treatment, complaints, data privacy, and prohibition of abusive collection by regulated financial service providers (checked 2026-08-30)</w:t>
      </w:r>
    </w:p>
    <w:p>
      <w:pPr>
        <w:spacing w:after="120"/>
      </w:pPr>
      <w:hyperlink w:history="1" r:id="rIdnqstk6ob3c4bqbe9hfxji">
        <w:r>
          <w:rPr>
            <w:rFonts w:ascii="Calibri" w:cs="Calibri" w:eastAsia="Calibri" w:hAnsi="Calibri"/>
            <w:color w:val="315B75"/>
            <w:sz w:val="17"/>
            <w:szCs w:val="17"/>
            <w:u w:val="single"/>
          </w:rPr>
          <w:t xml:space="preserve">https://lawphil.net/statutes/repacts/ra2022/ra_11765_2022.html</w:t>
        </w:r>
      </w:hyperlink>
    </w:p>
    <w:p>
      <w:pPr>
        <w:keepNext/>
        <w:spacing w:after="60" w:before="100"/>
      </w:pPr>
      <w:r>
        <w:rPr>
          <w:rFonts w:ascii="Calibri" w:cs="Calibri" w:eastAsia="Calibri" w:hAnsi="Calibri"/>
          <w:b/>
          <w:bCs/>
          <w:sz w:val="18"/>
          <w:szCs w:val="18"/>
        </w:rPr>
        <w:t xml:space="preserve">SEC Memorandum Circular No. 18, Series of 2019 - Prohibition on unfair debt collection practices by financing and lending companies and their agents (checked 2026-08-30)</w:t>
      </w:r>
    </w:p>
    <w:p>
      <w:pPr>
        <w:spacing w:after="120"/>
      </w:pPr>
      <w:hyperlink w:history="1" r:id="rIdcdw7ihbgooinil2xlc5mc">
        <w:r>
          <w:rPr>
            <w:rFonts w:ascii="Calibri" w:cs="Calibri" w:eastAsia="Calibri" w:hAnsi="Calibri"/>
            <w:color w:val="315B75"/>
            <w:sz w:val="17"/>
            <w:szCs w:val="17"/>
            <w:u w:val="single"/>
          </w:rPr>
          <w:t xml:space="preserve">https://appointment.sec.gov.ph/mc-2019/mc-no-18-s-2019-prohibition-on-unfair-debt-collection-practices-of-financing-companiesfc-and-lending-companieslc/</w:t>
        </w:r>
      </w:hyperlink>
    </w:p>
    <w:p>
      <w:pPr>
        <w:keepNext/>
        <w:spacing w:after="60" w:before="100"/>
      </w:pPr>
      <w:r>
        <w:rPr>
          <w:rFonts w:ascii="Calibri" w:cs="Calibri" w:eastAsia="Calibri" w:hAnsi="Calibri"/>
          <w:b/>
          <w:bCs/>
          <w:sz w:val="18"/>
          <w:szCs w:val="18"/>
        </w:rPr>
        <w:t xml:space="preserve">NPC Circular No. 20-01, as amended - Data minimization, transparency, security, rights, and collection-related processing for lending and financing transactions (checked 2026-08-30)</w:t>
      </w:r>
    </w:p>
    <w:p>
      <w:pPr>
        <w:spacing w:after="120"/>
      </w:pPr>
      <w:hyperlink w:history="1" r:id="rId349jekmyw7oj4b8lbz60z">
        <w:r>
          <w:rPr>
            <w:rFonts w:ascii="Calibri" w:cs="Calibri" w:eastAsia="Calibri" w:hAnsi="Calibri"/>
            <w:color w:val="315B75"/>
            <w:sz w:val="17"/>
            <w:szCs w:val="17"/>
            <w:u w:val="single"/>
          </w:rPr>
          <w:t xml:space="preserve">https://privacy.gov.ph/wp-content/uploads/2020/10/NPC-Circular-No.-20-01.pdf</w:t>
        </w:r>
      </w:hyperlink>
    </w:p>
    <w:p>
      <w:pPr>
        <w:keepNext/>
        <w:spacing w:after="60" w:before="100"/>
      </w:pPr>
      <w:r>
        <w:rPr>
          <w:rFonts w:ascii="Calibri" w:cs="Calibri" w:eastAsia="Calibri" w:hAnsi="Calibri"/>
          <w:b/>
          <w:bCs/>
          <w:sz w:val="18"/>
          <w:szCs w:val="18"/>
        </w:rPr>
        <w:t xml:space="preserve">Electronic Commerce Act of 2000 (Republic Act No. 8792) - Secs. 6–8 on electronic data messages, documents, and signatures (checked 2026-08-30)</w:t>
      </w:r>
    </w:p>
    <w:p>
      <w:pPr>
        <w:spacing w:after="120"/>
      </w:pPr>
      <w:hyperlink w:history="1" r:id="rIdysqsvowcuk43htanytcf2">
        <w:r>
          <w:rPr>
            <w:rFonts w:ascii="Calibri" w:cs="Calibri" w:eastAsia="Calibri" w:hAnsi="Calibri"/>
            <w:color w:val="315B75"/>
            <w:sz w:val="17"/>
            <w:szCs w:val="17"/>
            <w:u w:val="single"/>
          </w:rPr>
          <w:t xml:space="preserve">https://lawphil.net/statutes/repacts/ra2000/ra_8792_2000.html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ek3mxf4xydof2kbd83io" Type="http://schemas.openxmlformats.org/officeDocument/2006/relationships/hyperlink" Target="https://lawphil.net/statutes/repacts/ra1949/ra_386_1949.html" TargetMode="External"/><Relationship Id="rIdfxlwluaixtbwt9uulnt-v" Type="http://schemas.openxmlformats.org/officeDocument/2006/relationships/hyperlink" Target="https://lawphil.net/judjuris/juri2022/sep2022/gr_225433_2022.html" TargetMode="External"/><Relationship Id="rIdp3dopquj8zstcgxpc7pfk" Type="http://schemas.openxmlformats.org/officeDocument/2006/relationships/hyperlink" Target="https://lawphil.net/judjuris/juri2013/aug2013/gr_189871_2013.html" TargetMode="External"/><Relationship Id="rIdu7bmlmxepucpe1pydvd-h" Type="http://schemas.openxmlformats.org/officeDocument/2006/relationships/hyperlink" Target="https://sc.judiciary.gov.ph/wp-content/uploads/2022/11/08-8-7-SC-1.pdf" TargetMode="External"/><Relationship Id="rIdzr_yyrnb5g6qurzcmwvax" Type="http://schemas.openxmlformats.org/officeDocument/2006/relationships/hyperlink" Target="https://lawphil.net/courts/supreme/ac/ac_14_1993.html" TargetMode="External"/><Relationship Id="rIdnqstk6ob3c4bqbe9hfxji" Type="http://schemas.openxmlformats.org/officeDocument/2006/relationships/hyperlink" Target="https://lawphil.net/statutes/repacts/ra2022/ra_11765_2022.html" TargetMode="External"/><Relationship Id="rIdcdw7ihbgooinil2xlc5mc" Type="http://schemas.openxmlformats.org/officeDocument/2006/relationships/hyperlink" Target="https://appointment.sec.gov.ph/mc-2019/mc-no-18-s-2019-prohibition-on-unfair-debt-collection-practices-of-financing-companiesfc-and-lending-companieslc/" TargetMode="External"/><Relationship Id="rId349jekmyw7oj4b8lbz60z" Type="http://schemas.openxmlformats.org/officeDocument/2006/relationships/hyperlink" Target="https://privacy.gov.ph/wp-content/uploads/2020/10/NPC-Circular-No.-20-01.pdf" TargetMode="External"/><Relationship Id="rIdysqsvowcuk43htanytcf2" Type="http://schemas.openxmlformats.org/officeDocument/2006/relationships/hyperlink" Target="https://lawphil.net/statutes/repacts/ra2000/ra_8792_2000.html"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Demand Letter for Payment</dc:title>
  <dc:creator>LAW.PH</dc:creator>
  <dc:description>Free sample of the Demand Letter for Payment from LAW.PH, with fictional details</dc:description>
  <cp:lastModifiedBy>Un-named</cp:lastModifiedBy>
  <cp:revision>1</cp:revision>
  <dcterms:created xsi:type="dcterms:W3CDTF">2026-10-02T05:29:58.394Z</dcterms:created>
  <dcterms:modified xsi:type="dcterms:W3CDTF">2026-10-02T05:29:58.394Z</dcterms:modified>
</cp:coreProperties>
</file>

<file path=docProps/custom.xml><?xml version="1.0" encoding="utf-8"?>
<Properties xmlns="http://schemas.openxmlformats.org/officeDocument/2006/custom-properties" xmlns:vt="http://schemas.openxmlformats.org/officeDocument/2006/docPropsVTypes"/>
</file>