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EMPLOYMENT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Employment Agreement (the “Agreement”) is made on August 29, 2026 between Sampaguita Labs, Inc., a corporation with principal address at 100 Ayala Avenue, Makati City 1226, as “Employer,” and Juan Dela Cruz, with address at 20 Kalayaan Avenue, Quezon City 1100, as “Employee.” Employment begins on September 15, 2026.</w:t>
      </w:r>
    </w:p>
    <w:p>
      <w:pPr>
        <w:keepLines/>
        <w:spacing w:after="120" w:line="264"/>
        <w:jc w:val="both"/>
      </w:pPr>
      <w:r>
        <w:rPr>
          <w:rFonts w:ascii="Calibri" w:cs="Calibri" w:eastAsia="Calibri" w:hAnsi="Calibri"/>
          <w:sz w:val="22"/>
          <w:szCs w:val="22"/>
        </w:rPr>
        <w:t xml:space="preserve">The parties intend an employer-employee relationship governed by Philippine law. Nothing in this Agreement waives a minimum labor standard, statutory benefit, security of tenure, collective-bargaining right, or other mandatory protection.</w:t>
      </w:r>
    </w:p>
    <w:p>
      <w:pPr>
        <w:pStyle w:val="Heading2"/>
        <w:keepNext/>
        <w:spacing w:after="120" w:before="240"/>
      </w:pPr>
      <w:r>
        <w:rPr>
          <w:rFonts w:ascii="Calibri" w:cs="Calibri" w:eastAsia="Calibri" w:hAnsi="Calibri"/>
          <w:b/>
          <w:bCs/>
          <w:color w:val="102B3F"/>
          <w:sz w:val="26"/>
          <w:szCs w:val="26"/>
        </w:rPr>
        <w:t xml:space="preserve">1. Appointment and status</w:t>
      </w:r>
    </w:p>
    <w:p>
      <w:pPr>
        <w:keepLines/>
        <w:spacing w:after="120" w:line="264"/>
        <w:jc w:val="both"/>
      </w:pPr>
      <w:r>
        <w:rPr>
          <w:rFonts w:ascii="Calibri" w:cs="Calibri" w:eastAsia="Calibri" w:hAnsi="Calibri"/>
          <w:sz w:val="22"/>
          <w:szCs w:val="22"/>
        </w:rPr>
        <w:t xml:space="preserve">The Employer appoints the Employee as Product Designer. The Employee accepts the appointment as a regular employee and shall report to Head of Product.</w:t>
      </w:r>
    </w:p>
    <w:p>
      <w:pPr>
        <w:keepLines/>
        <w:spacing w:after="120" w:line="264"/>
        <w:jc w:val="both"/>
      </w:pPr>
      <w:r>
        <w:rPr>
          <w:rFonts w:ascii="Calibri" w:cs="Calibri" w:eastAsia="Calibri" w:hAnsi="Calibri"/>
          <w:sz w:val="22"/>
          <w:szCs w:val="22"/>
        </w:rPr>
        <w:t xml:space="preserve">The Employee is engaged as regular from the start date. The Employee may be separated only for a just or authorized cause and through the procedure required by applicable law.</w:t>
      </w:r>
    </w:p>
    <w:p>
      <w:pPr>
        <w:pStyle w:val="Heading2"/>
        <w:keepNext/>
        <w:spacing w:after="120" w:before="240"/>
      </w:pPr>
      <w:r>
        <w:rPr>
          <w:rFonts w:ascii="Calibri" w:cs="Calibri" w:eastAsia="Calibri" w:hAnsi="Calibri"/>
          <w:b/>
          <w:bCs/>
          <w:color w:val="102B3F"/>
          <w:sz w:val="26"/>
          <w:szCs w:val="26"/>
        </w:rPr>
        <w:t xml:space="preserve">2. Duties, standards, and policies</w:t>
      </w:r>
    </w:p>
    <w:p>
      <w:pPr>
        <w:keepLines/>
        <w:spacing w:after="120" w:line="264"/>
        <w:jc w:val="both"/>
      </w:pPr>
      <w:r>
        <w:rPr>
          <w:rFonts w:ascii="Calibri" w:cs="Calibri" w:eastAsia="Calibri" w:hAnsi="Calibri"/>
          <w:sz w:val="22"/>
          <w:szCs w:val="22"/>
        </w:rPr>
        <w:t xml:space="preserve">The Employee's principal duties are: Design product workflows, maintain the design system, conduct user research, and prepare implementation specifications. The Employee shall perform faithfully, competently, safely, and lawfully; protect the Employer's legitimate interests; follow reasonable written instructions; and comply with lawful policies supplied or made reasonably accessible to the Employee.</w:t>
      </w:r>
    </w:p>
    <w:p>
      <w:pPr>
        <w:keepLines/>
        <w:spacing w:after="120" w:line="264"/>
        <w:jc w:val="both"/>
      </w:pPr>
      <w:r>
        <w:rPr>
          <w:rFonts w:ascii="Calibri" w:cs="Calibri" w:eastAsia="Calibri" w:hAnsi="Calibri"/>
          <w:sz w:val="22"/>
          <w:szCs w:val="22"/>
        </w:rPr>
        <w:t xml:space="preserve">The Employer may reasonably adjust assignments, reporting lines, tools, or procedures to meet legitimate business needs, but shall not use a change to evade law, reduce vested or mandatory benefits, constructively dismiss the Employee, or materially alter the employment relationship unlawfully.</w:t>
      </w:r>
    </w:p>
    <w:p>
      <w:pPr>
        <w:pStyle w:val="Heading2"/>
        <w:keepNext/>
        <w:spacing w:after="120" w:before="240"/>
      </w:pPr>
      <w:r>
        <w:rPr>
          <w:rFonts w:ascii="Calibri" w:cs="Calibri" w:eastAsia="Calibri" w:hAnsi="Calibri"/>
          <w:b/>
          <w:bCs/>
          <w:color w:val="102B3F"/>
          <w:sz w:val="26"/>
          <w:szCs w:val="26"/>
        </w:rPr>
        <w:t xml:space="preserve">3. Workplace and working time</w:t>
      </w:r>
    </w:p>
    <w:p>
      <w:pPr>
        <w:keepLines/>
        <w:spacing w:after="120" w:line="264"/>
        <w:jc w:val="both"/>
      </w:pPr>
      <w:r>
        <w:rPr>
          <w:rFonts w:ascii="Calibri" w:cs="Calibri" w:eastAsia="Calibri" w:hAnsi="Calibri"/>
          <w:sz w:val="22"/>
          <w:szCs w:val="22"/>
        </w:rPr>
        <w:t xml:space="preserve">The normal arrangement is primarily on-site. The principal workplace or reporting location is 100 Ayala Avenue, Makati City 1226.</w:t>
      </w:r>
    </w:p>
    <w:p>
      <w:pPr>
        <w:keepLines/>
        <w:spacing w:after="120" w:line="264"/>
        <w:jc w:val="both"/>
      </w:pPr>
      <w:r>
        <w:rPr>
          <w:rFonts w:ascii="Calibri" w:cs="Calibri" w:eastAsia="Calibri" w:hAnsi="Calibri"/>
          <w:sz w:val="22"/>
          <w:szCs w:val="22"/>
        </w:rPr>
        <w:t xml:space="preserve">Normal workdays are Monday to Friday; the normal schedule is 9:00 a.m. to 6:00 p.m., with a one-hour unpaid meal period; normal working time is 8 hours per day; and the normal weekly rest day is Sunday. Normal hours do not exceed eight a day (Article 83 of the Labor Code); work beyond eight hours a day is overtime and is paid the overtime premium where the position is covered by the hours-of-work rules (Article 87). Actual hours, meal periods, rest days, overtime, night work, and work on holidays or rest days remain subject to the Labor Code, applicable wage orders, lawful scheduling rules, and any more favorable policy or practice.</w:t>
      </w:r>
    </w:p>
    <w:p>
      <w:pPr>
        <w:keepLines/>
        <w:spacing w:after="120" w:line="264"/>
        <w:jc w:val="both"/>
      </w:pPr>
      <w:r>
        <w:rPr>
          <w:rFonts w:ascii="Calibri" w:cs="Calibri" w:eastAsia="Calibri" w:hAnsi="Calibri"/>
          <w:sz w:val="22"/>
          <w:szCs w:val="22"/>
        </w:rPr>
        <w:t xml:space="preserve">The parties route the position through the ordinary hours-of-work and premium-pay rules. Overtime or work on a rest day or holiday must be authorized when practicable, but lack of prior approval does not erase compensation that mandatory law requires for work suffered or permitted.</w:t>
      </w:r>
    </w:p>
    <w:p>
      <w:pPr>
        <w:pStyle w:val="Heading2"/>
        <w:keepNext/>
        <w:spacing w:after="120" w:before="240"/>
      </w:pPr>
      <w:r>
        <w:rPr>
          <w:rFonts w:ascii="Calibri" w:cs="Calibri" w:eastAsia="Calibri" w:hAnsi="Calibri"/>
          <w:b/>
          <w:bCs/>
          <w:color w:val="102B3F"/>
          <w:sz w:val="26"/>
          <w:szCs w:val="26"/>
        </w:rPr>
        <w:t xml:space="preserve">4. Compensation</w:t>
      </w:r>
    </w:p>
    <w:p>
      <w:pPr>
        <w:keepLines/>
        <w:spacing w:after="120" w:line="264"/>
        <w:jc w:val="both"/>
      </w:pPr>
      <w:r>
        <w:rPr>
          <w:rFonts w:ascii="Calibri" w:cs="Calibri" w:eastAsia="Calibri" w:hAnsi="Calibri"/>
          <w:sz w:val="22"/>
          <w:szCs w:val="22"/>
        </w:rPr>
        <w:t xml:space="preserve">The Employer shall pay basic pay of ₱30,000.00 per month, on a semi-monthly payroll, less only deductions authorized by law or by a valid written authorization. The rate shall not be below the applicable regional or sectoral minimum wage and shall be adjusted when mandatory law or a wage order requires.</w:t>
      </w:r>
    </w:p>
    <w:p>
      <w:pPr>
        <w:keepLines/>
        <w:spacing w:after="120" w:line="264"/>
        <w:jc w:val="both"/>
      </w:pPr>
      <w:r>
        <w:rPr>
          <w:rFonts w:ascii="Calibri" w:cs="Calibri" w:eastAsia="Calibri" w:hAnsi="Calibri"/>
          <w:sz w:val="22"/>
          <w:szCs w:val="22"/>
        </w:rPr>
        <w:t xml:space="preserve">The Employer shall issue an accurate payslip and maintain payroll records as required by law. Any bonus, incentive, commission, or allowance not stated as guaranteed remains governed by its written plan, eligibility rules, established practice, and mandatory non-diminution principles.</w:t>
      </w:r>
    </w:p>
    <w:p>
      <w:pPr>
        <w:pStyle w:val="Heading2"/>
        <w:keepNext/>
        <w:spacing w:after="120" w:before="240"/>
      </w:pPr>
      <w:r>
        <w:rPr>
          <w:rFonts w:ascii="Calibri" w:cs="Calibri" w:eastAsia="Calibri" w:hAnsi="Calibri"/>
          <w:b/>
          <w:bCs/>
          <w:color w:val="102B3F"/>
          <w:sz w:val="26"/>
          <w:szCs w:val="26"/>
        </w:rPr>
        <w:t xml:space="preserve">5. Statutory and company benefits</w:t>
      </w:r>
    </w:p>
    <w:p>
      <w:pPr>
        <w:keepLines/>
        <w:spacing w:after="120" w:line="264"/>
        <w:jc w:val="both"/>
      </w:pPr>
      <w:r>
        <w:rPr>
          <w:rFonts w:ascii="Calibri" w:cs="Calibri" w:eastAsia="Calibri" w:hAnsi="Calibri"/>
          <w:sz w:val="22"/>
          <w:szCs w:val="22"/>
        </w:rPr>
        <w:t xml:space="preserve">The Employee shall receive 13th-month pay, service-incentive leave when covered, holiday and premium pay when covered, and all other monetary benefits required by the Labor Code, Presidential Decree No. 851, applicable wage orders, special leave laws, and current DOLE rules. The Employer shall register, report, deduct, remit, and contribute for SSS, PhilHealth, Pag-IBIG, Employees' Compensation, and tax as required.</w:t>
      </w:r>
    </w:p>
    <w:p>
      <w:pPr>
        <w:keepLines/>
        <w:spacing w:after="120" w:line="264"/>
        <w:jc w:val="both"/>
      </w:pPr>
      <w:r>
        <w:rPr>
          <w:rFonts w:ascii="Calibri" w:cs="Calibri" w:eastAsia="Calibri" w:hAnsi="Calibri"/>
          <w:sz w:val="22"/>
          <w:szCs w:val="22"/>
        </w:rPr>
        <w:t xml:space="preserve">A company plan, handbook, or benefit may contain eligibility and administration rules, but no plan term may reduce a statutory minimum or an earned benefit contrary to law. More favorable benefits arising from contract, collective agreement, policy, or established practice remain effective according to law.</w:t>
      </w:r>
    </w:p>
    <w:p>
      <w:pPr>
        <w:pStyle w:val="Heading2"/>
        <w:keepNext/>
        <w:spacing w:after="120" w:before="240"/>
      </w:pPr>
      <w:r>
        <w:rPr>
          <w:rFonts w:ascii="Calibri" w:cs="Calibri" w:eastAsia="Calibri" w:hAnsi="Calibri"/>
          <w:b/>
          <w:bCs/>
          <w:color w:val="102B3F"/>
          <w:sz w:val="26"/>
          <w:szCs w:val="26"/>
        </w:rPr>
        <w:t xml:space="preserve">6. Expenses, tools, and safety</w:t>
      </w:r>
    </w:p>
    <w:p>
      <w:pPr>
        <w:keepLines/>
        <w:spacing w:after="120" w:line="264"/>
        <w:jc w:val="both"/>
      </w:pPr>
      <w:r>
        <w:rPr>
          <w:rFonts w:ascii="Calibri" w:cs="Calibri" w:eastAsia="Calibri" w:hAnsi="Calibri"/>
          <w:sz w:val="22"/>
          <w:szCs w:val="22"/>
        </w:rPr>
        <w:t xml:space="preserve">Reasonable and necessary business expenses approved in advance and supported by receipts will be reimbursed under company policy. Company property and access credentials remain subject to inventory, acceptable-use, security, and return procedures.</w:t>
      </w:r>
    </w:p>
    <w:p>
      <w:pPr>
        <w:keepLines/>
        <w:spacing w:after="120" w:line="264"/>
        <w:jc w:val="both"/>
      </w:pPr>
      <w:r>
        <w:rPr>
          <w:rFonts w:ascii="Calibri" w:cs="Calibri" w:eastAsia="Calibri" w:hAnsi="Calibri"/>
          <w:sz w:val="22"/>
          <w:szCs w:val="22"/>
        </w:rPr>
        <w:t xml:space="preserve">The Employer shall provide a workplace and system of work consistent with Republic Act No. 11058 and applicable occupational-safety rules. The Employee shall follow reasonable safety and incident-reporting procedures and promptly report hazards, injuries, security events, and lost equipment. Remote work does not eliminate either party's applicable safety, privacy, and information-security duties.</w:t>
      </w:r>
    </w:p>
    <w:p>
      <w:pPr>
        <w:pStyle w:val="Heading2"/>
        <w:keepNext/>
        <w:spacing w:after="120" w:before="240"/>
      </w:pPr>
      <w:r>
        <w:rPr>
          <w:rFonts w:ascii="Calibri" w:cs="Calibri" w:eastAsia="Calibri" w:hAnsi="Calibri"/>
          <w:b/>
          <w:bCs/>
          <w:color w:val="102B3F"/>
          <w:sz w:val="26"/>
          <w:szCs w:val="26"/>
        </w:rPr>
        <w:t xml:space="preserve">7. Confidential information</w:t>
      </w:r>
    </w:p>
    <w:p>
      <w:pPr>
        <w:keepLines/>
        <w:spacing w:after="120" w:line="264"/>
        <w:jc w:val="both"/>
      </w:pPr>
      <w:r>
        <w:rPr>
          <w:rFonts w:ascii="Calibri" w:cs="Calibri" w:eastAsia="Calibri" w:hAnsi="Calibri"/>
          <w:sz w:val="22"/>
          <w:szCs w:val="22"/>
        </w:rPr>
        <w:t xml:space="preserve">The Employee may receive non-public information including business plans, operations, strategies, and internal policies; pricing, budgets, financial records, and forecasts; customer, prospect, supplier, and partner information. “Confidential Information” excludes information the Employee can show was lawfully known without duty, becomes public without breach, is lawfully received from another source without duty, or is independently developed without use of protected information.</w:t>
      </w:r>
    </w:p>
    <w:p>
      <w:pPr>
        <w:keepLines/>
        <w:spacing w:after="120" w:line="264"/>
        <w:jc w:val="both"/>
      </w:pPr>
      <w:r>
        <w:rPr>
          <w:rFonts w:ascii="Calibri" w:cs="Calibri" w:eastAsia="Calibri" w:hAnsi="Calibri"/>
          <w:sz w:val="22"/>
          <w:szCs w:val="22"/>
        </w:rPr>
        <w:t xml:space="preserve">During and after employment, the Employee shall use Confidential Information only for authorized work, disclose it only to authorized persons with a need to know, apply at least reasonable care and required security controls, and comply with lawful return, deletion, preservation, and incident-reporting directions. This clause does not prohibit a disclosure protected or required by law, a good-faith report to a competent authority, lawful exercise of labor rights, or consultation with the Employee's lawyer or representative under an appropriate duty.</w:t>
      </w:r>
    </w:p>
    <w:p>
      <w:pPr>
        <w:pStyle w:val="Heading2"/>
        <w:keepNext/>
        <w:spacing w:after="120" w:before="240"/>
      </w:pPr>
      <w:r>
        <w:rPr>
          <w:rFonts w:ascii="Calibri" w:cs="Calibri" w:eastAsia="Calibri" w:hAnsi="Calibri"/>
          <w:b/>
          <w:bCs/>
          <w:color w:val="102B3F"/>
          <w:sz w:val="26"/>
          <w:szCs w:val="26"/>
        </w:rPr>
        <w:t xml:space="preserve">8. Work product and intellectual property</w:t>
      </w:r>
    </w:p>
    <w:p>
      <w:pPr>
        <w:keepLines/>
        <w:spacing w:after="120" w:line="264"/>
        <w:jc w:val="both"/>
      </w:pPr>
      <w:r>
        <w:rPr>
          <w:rFonts w:ascii="Calibri" w:cs="Calibri" w:eastAsia="Calibri" w:hAnsi="Calibri"/>
          <w:sz w:val="22"/>
          <w:szCs w:val="22"/>
        </w:rPr>
        <w:t xml:space="preserve">Ownership of works, inventions, designs, developments, data, documentation, and other work product created in the course of assigned duties shall be determined by Republic Act No. 8293, the actual circumstances, and any separate valid written assignment. The Employee should disclose pre-existing material before incorporating it into a deliverable.</w:t>
      </w:r>
    </w:p>
    <w:p>
      <w:pPr>
        <w:keepLines/>
        <w:spacing w:after="120" w:line="264"/>
        <w:jc w:val="both"/>
      </w:pPr>
      <w:r>
        <w:rPr>
          <w:rFonts w:ascii="Calibri" w:cs="Calibri" w:eastAsia="Calibri" w:hAnsi="Calibri"/>
          <w:sz w:val="22"/>
          <w:szCs w:val="22"/>
        </w:rPr>
        <w:t xml:space="preserve">To the extent the Employer lawfully owns work product, the Employee shall provide reasonable execution assistance for documentation and protection. No clause transfers moral rights, unrelated personal creations, open-source rights, or third-party material beyond what law and a valid written instrument permit. The Employee shall not incorporate third-party material without required authorization and license compliance.</w:t>
      </w:r>
    </w:p>
    <w:p>
      <w:pPr>
        <w:pStyle w:val="Heading2"/>
        <w:keepNext/>
        <w:spacing w:after="120" w:before="240"/>
      </w:pPr>
      <w:r>
        <w:rPr>
          <w:rFonts w:ascii="Calibri" w:cs="Calibri" w:eastAsia="Calibri" w:hAnsi="Calibri"/>
          <w:b/>
          <w:bCs/>
          <w:color w:val="102B3F"/>
          <w:sz w:val="26"/>
          <w:szCs w:val="26"/>
        </w:rPr>
        <w:t xml:space="preserve">9. Employee privacy and monitoring</w:t>
      </w:r>
    </w:p>
    <w:p>
      <w:pPr>
        <w:keepLines/>
        <w:spacing w:after="120" w:line="264"/>
        <w:jc w:val="both"/>
      </w:pPr>
      <w:r>
        <w:rPr>
          <w:rFonts w:ascii="Calibri" w:cs="Calibri" w:eastAsia="Calibri" w:hAnsi="Calibri"/>
          <w:sz w:val="22"/>
          <w:szCs w:val="22"/>
        </w:rPr>
        <w:t xml:space="preserve">The Employer may process employment-related personal data only on a lawful basis and for specified legitimate purposes such as recruitment, payroll, benefits, performance, security, compliance, and workforce administration. The Employer shall provide an appropriate privacy notice describing data, purposes, methods, recipients, retention, rights, and responsible contacts; apply transparency, legitimate-purpose, proportionality, retention, and security requirements; and avoid relying on this Agreement as blanket consent.</w:t>
      </w:r>
    </w:p>
    <w:p>
      <w:pPr>
        <w:keepLines/>
        <w:spacing w:after="120" w:line="264"/>
        <w:jc w:val="both"/>
      </w:pPr>
      <w:r>
        <w:rPr>
          <w:rFonts w:ascii="Calibri" w:cs="Calibri" w:eastAsia="Calibri" w:hAnsi="Calibri"/>
          <w:sz w:val="22"/>
          <w:szCs w:val="22"/>
        </w:rPr>
        <w:t xml:space="preserve">Any workplace or remote-work monitoring must be disclosed, necessary, proportionate, and implemented through lawful policy and safeguards. The Employee shall handle personal data encountered at work only as authorized and report suspected loss, misuse, or unauthorized access promptly.</w:t>
      </w:r>
    </w:p>
    <w:p>
      <w:pPr>
        <w:pStyle w:val="Heading2"/>
        <w:keepNext/>
        <w:spacing w:after="120" w:before="240"/>
      </w:pPr>
      <w:r>
        <w:rPr>
          <w:rFonts w:ascii="Calibri" w:cs="Calibri" w:eastAsia="Calibri" w:hAnsi="Calibri"/>
          <w:b/>
          <w:bCs/>
          <w:color w:val="102B3F"/>
          <w:sz w:val="26"/>
          <w:szCs w:val="26"/>
        </w:rPr>
        <w:t xml:space="preserve">10. Conduct, conflicts, and outside activity</w:t>
      </w:r>
    </w:p>
    <w:p>
      <w:pPr>
        <w:keepLines/>
        <w:spacing w:after="120" w:line="264"/>
        <w:jc w:val="both"/>
      </w:pPr>
      <w:r>
        <w:rPr>
          <w:rFonts w:ascii="Calibri" w:cs="Calibri" w:eastAsia="Calibri" w:hAnsi="Calibri"/>
          <w:sz w:val="22"/>
          <w:szCs w:val="22"/>
        </w:rPr>
        <w:t xml:space="preserve">The Employee shall disclose an actual material conflict of interest and shall not misuse working time, confidential information, authority, or company property for an undisclosed competing interest. A restriction on outside activity shall be applied only to protect a legitimate interest, during relevant working or engagement periods, and in a manner consistent with law and the Employee's rights. This Agreement creates no post-employment non-compete covenant.</w:t>
      </w:r>
    </w:p>
    <w:p>
      <w:pPr>
        <w:pStyle w:val="Heading2"/>
        <w:keepNext/>
        <w:spacing w:after="120" w:before="240"/>
      </w:pPr>
      <w:r>
        <w:rPr>
          <w:rFonts w:ascii="Calibri" w:cs="Calibri" w:eastAsia="Calibri" w:hAnsi="Calibri"/>
          <w:b/>
          <w:bCs/>
          <w:color w:val="102B3F"/>
          <w:sz w:val="26"/>
          <w:szCs w:val="26"/>
        </w:rPr>
        <w:t xml:space="preserve">11. Discipline and termination</w:t>
      </w:r>
    </w:p>
    <w:p>
      <w:pPr>
        <w:keepLines/>
        <w:spacing w:after="120" w:line="264"/>
        <w:jc w:val="both"/>
      </w:pPr>
      <w:r>
        <w:rPr>
          <w:rFonts w:ascii="Calibri" w:cs="Calibri" w:eastAsia="Calibri" w:hAnsi="Calibri"/>
          <w:sz w:val="22"/>
          <w:szCs w:val="22"/>
        </w:rPr>
        <w:t xml:space="preserve">Employment may end only in accordance with the Labor Code and other applicable law. Employer-initiated termination requires a legally sufficient just or authorized cause and the notices, opportunity to be heard, DOLE notice, separation pay, certification, or other procedure applicable to that cause. A probationary employee may also be separated for failure to meet reasonable standards made known at engagement, through the notice required by law. No policy or clause creates an automatic dismissal without an individualized lawful process.</w:t>
      </w:r>
    </w:p>
    <w:p>
      <w:pPr>
        <w:keepLines/>
        <w:spacing w:after="120" w:line="264"/>
        <w:jc w:val="both"/>
      </w:pPr>
      <w:r>
        <w:rPr>
          <w:rFonts w:ascii="Calibri" w:cs="Calibri" w:eastAsia="Calibri" w:hAnsi="Calibri"/>
          <w:sz w:val="22"/>
          <w:szCs w:val="22"/>
        </w:rPr>
        <w:t xml:space="preserve">The Employee may resign by written notice served at least one month (30 days) in advance (Article 300 [285](a) of the Labor Code) unless a lawful just cause permits otherwise or the Employer agrees to a different arrangement. On separation, the Employer shall pay earned compensation and benefits and issue records within the periods required by law; the Employee shall return company property and reasonably cooperate in an orderly handover. Neither party waives claims, defenses, or procedures by signing a routine clearance.</w:t>
      </w:r>
    </w:p>
    <w:p>
      <w:pPr>
        <w:pStyle w:val="Heading2"/>
        <w:keepNext/>
        <w:spacing w:after="120" w:before="240"/>
      </w:pPr>
      <w:r>
        <w:rPr>
          <w:rFonts w:ascii="Calibri" w:cs="Calibri" w:eastAsia="Calibri" w:hAnsi="Calibri"/>
          <w:b/>
          <w:bCs/>
          <w:color w:val="102B3F"/>
          <w:sz w:val="26"/>
          <w:szCs w:val="26"/>
        </w:rPr>
        <w:t xml:space="preserve">12. Notices</w:t>
      </w:r>
    </w:p>
    <w:p>
      <w:pPr>
        <w:keepLines/>
        <w:spacing w:after="120" w:line="264"/>
        <w:jc w:val="both"/>
      </w:pPr>
      <w:r>
        <w:rPr>
          <w:rFonts w:ascii="Calibri" w:cs="Calibri" w:eastAsia="Calibri" w:hAnsi="Calibri"/>
          <w:sz w:val="22"/>
          <w:szCs w:val="22"/>
        </w:rPr>
        <w:t xml:space="preserve">Ordinary contractual notices shall be in writing and delivered personally, by reputable courier, or by email with evidence of transmission. Notices to the Employer shall be sent to 100 Ayala Avenue, Makati City 1226; notices to the Employee shall be sent to 20 Kalayaan Avenue, Quezon City 1100, or to replacement contact details designated in writing. Statutory employment notices must additionally follow the method, content, timing, and recipient requirements of applicable law.</w:t>
      </w:r>
    </w:p>
    <w:p>
      <w:pPr>
        <w:pStyle w:val="Heading2"/>
        <w:keepNext/>
        <w:spacing w:after="120" w:before="240"/>
      </w:pPr>
      <w:r>
        <w:rPr>
          <w:rFonts w:ascii="Calibri" w:cs="Calibri" w:eastAsia="Calibri" w:hAnsi="Calibri"/>
          <w:b/>
          <w:bCs/>
          <w:color w:val="102B3F"/>
          <w:sz w:val="26"/>
          <w:szCs w:val="26"/>
        </w:rPr>
        <w:t xml:space="preserve">13. Governing law and dispute process</w:t>
      </w:r>
    </w:p>
    <w:p>
      <w:pPr>
        <w:keepLines/>
        <w:spacing w:after="120" w:line="264"/>
        <w:jc w:val="both"/>
      </w:pPr>
      <w:r>
        <w:rPr>
          <w:rFonts w:ascii="Calibri" w:cs="Calibri" w:eastAsia="Calibri" w:hAnsi="Calibri"/>
          <w:sz w:val="22"/>
          <w:szCs w:val="22"/>
        </w:rPr>
        <w:t xml:space="preserve">This Agreement is governed by the laws of the Republic of the Philippines. Labor disputes remain within the jurisdiction and mandatory conciliation, mediation, administrative, or judicial process fixed by law. Subject to those mandatory rules, other actions may be brought before the proper tribunal or courts of Makati City.</w:t>
      </w:r>
    </w:p>
    <w:p>
      <w:pPr>
        <w:pStyle w:val="Heading2"/>
        <w:keepNext/>
        <w:spacing w:after="120" w:before="240"/>
      </w:pPr>
      <w:r>
        <w:rPr>
          <w:rFonts w:ascii="Calibri" w:cs="Calibri" w:eastAsia="Calibri" w:hAnsi="Calibri"/>
          <w:b/>
          <w:bCs/>
          <w:color w:val="102B3F"/>
          <w:sz w:val="26"/>
          <w:szCs w:val="26"/>
        </w:rPr>
        <w:t xml:space="preserve">14. General terms</w:t>
      </w:r>
    </w:p>
    <w:p>
      <w:pPr>
        <w:keepLines/>
        <w:spacing w:after="120" w:line="264"/>
        <w:jc w:val="both"/>
      </w:pPr>
      <w:r>
        <w:rPr>
          <w:rFonts w:ascii="Calibri" w:cs="Calibri" w:eastAsia="Calibri" w:hAnsi="Calibri"/>
          <w:sz w:val="22"/>
          <w:szCs w:val="22"/>
        </w:rPr>
        <w:t xml:space="preserve">This Agreement, its signed role description, and lawful incorporated policies record the parties' agreement on the employment terms stated here. An amendment must be written and signed, except for lawful policy changes within management authority. A waiver of one breach is not a waiver of another. If a term conflicts with mandatory law, mandatory law controls and the remainder continues to the extent lawful.</w:t>
      </w:r>
    </w:p>
    <w:p>
      <w:pPr>
        <w:pStyle w:val="Heading2"/>
        <w:keepNext/>
        <w:spacing w:after="120" w:before="240"/>
      </w:pPr>
      <w:r>
        <w:rPr>
          <w:rFonts w:ascii="Calibri" w:cs="Calibri" w:eastAsia="Calibri" w:hAnsi="Calibri"/>
          <w:b/>
          <w:bCs/>
          <w:color w:val="102B3F"/>
          <w:sz w:val="26"/>
          <w:szCs w:val="26"/>
        </w:rPr>
        <w:t xml:space="preserve">15.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rules, a reliable electronic signature and electronic copy may satisfy writing and signature requirements. Each party shall retain the completed agreement and evidence of signer identity, intent, document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Sampaguita Labs, Inc.</w:t>
            </w:r>
          </w:p>
          <w:p>
            <w:pPr>
              <w:spacing w:after="120"/>
            </w:pPr>
            <w:r>
              <w:rPr>
                <w:rFonts w:ascii="Calibri" w:cs="Calibri" w:eastAsia="Calibri" w:hAnsi="Calibri"/>
                <w:sz w:val="22"/>
                <w:szCs w:val="22"/>
              </w:rPr>
              <w:t xml:space="preserve">By: Maria Santos, President</w:t>
            </w:r>
          </w:p>
          <w:p>
            <w:pPr>
              <w:spacing w:after="120"/>
            </w:pPr>
            <w:r>
              <w:rPr>
                <w:rFonts w:ascii="Calibri" w:cs="Calibri" w:eastAsia="Calibri" w:hAnsi="Calibri"/>
                <w:sz w:val="22"/>
                <w:szCs w:val="22"/>
              </w:rPr>
              <w:t xml:space="preserve">Employer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Employee · Product Designer</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the employer's legal name, registration details, signatory authority, and the employee's identity before signing.</w:t>
      </w:r>
    </w:p>
    <w:p>
      <w:pPr>
        <w:pStyle w:val="ListParagraph"/>
        <w:keepNext/>
        <w:numPr>
          <w:ilvl w:val="0"/>
          <w:numId w:val="1"/>
        </w:numPr>
        <w:spacing w:after="120" w:line="264"/>
      </w:pPr>
      <w:r>
        <w:rPr>
          <w:rFonts w:ascii="Calibri" w:cs="Calibri" w:eastAsia="Calibri" w:hAnsi="Calibri"/>
          <w:sz w:val="22"/>
          <w:szCs w:val="22"/>
        </w:rPr>
        <w:t xml:space="preserve">Check the current regional wage order, pay frequency, statutory deductions, payroll treatment of allowances, and all mandatory benefits for the actual workplace and sector.</w:t>
      </w:r>
    </w:p>
    <w:p>
      <w:pPr>
        <w:pStyle w:val="ListParagraph"/>
        <w:keepNext/>
        <w:numPr>
          <w:ilvl w:val="0"/>
          <w:numId w:val="1"/>
        </w:numPr>
        <w:spacing w:after="120" w:line="264"/>
      </w:pPr>
      <w:r>
        <w:rPr>
          <w:rFonts w:ascii="Calibri" w:cs="Calibri" w:eastAsia="Calibri" w:hAnsi="Calibri"/>
          <w:sz w:val="22"/>
          <w:szCs w:val="22"/>
        </w:rPr>
        <w:t xml:space="preserve">Ensure the HR and payroll records state regular employment from the agreed start date.</w:t>
      </w:r>
    </w:p>
    <w:p>
      <w:pPr>
        <w:pStyle w:val="ListParagraph"/>
        <w:keepNext/>
        <w:numPr>
          <w:ilvl w:val="0"/>
          <w:numId w:val="1"/>
        </w:numPr>
        <w:spacing w:after="120" w:line="264"/>
      </w:pPr>
      <w:r>
        <w:rPr>
          <w:rFonts w:ascii="Calibri" w:cs="Calibri" w:eastAsia="Calibri" w:hAnsi="Calibri"/>
          <w:sz w:val="22"/>
          <w:szCs w:val="22"/>
        </w:rPr>
        <w:t xml:space="preserve">Configure timekeeping, overtime authorization, rest-day, holiday, and night-shift processes consistently with the stated schedule and law.</w:t>
      </w:r>
    </w:p>
    <w:p>
      <w:pPr>
        <w:pStyle w:val="ListParagraph"/>
        <w:keepNext/>
        <w:numPr>
          <w:ilvl w:val="0"/>
          <w:numId w:val="1"/>
        </w:numPr>
        <w:spacing w:after="120" w:line="264"/>
      </w:pPr>
      <w:r>
        <w:rPr>
          <w:rFonts w:ascii="Calibri" w:cs="Calibri" w:eastAsia="Calibri" w:hAnsi="Calibri"/>
          <w:sz w:val="22"/>
          <w:szCs w:val="22"/>
        </w:rPr>
        <w:t xml:space="preserve">Complete workplace safety orientation and issue the relevant lawful policies.</w:t>
      </w:r>
    </w:p>
    <w:p>
      <w:pPr>
        <w:pStyle w:val="ListParagraph"/>
        <w:keepNext/>
        <w:numPr>
          <w:ilvl w:val="0"/>
          <w:numId w:val="1"/>
        </w:numPr>
        <w:spacing w:after="120" w:line="264"/>
      </w:pPr>
      <w:r>
        <w:rPr>
          <w:rFonts w:ascii="Calibri" w:cs="Calibri" w:eastAsia="Calibri" w:hAnsi="Calibri"/>
          <w:sz w:val="22"/>
          <w:szCs w:val="22"/>
        </w:rPr>
        <w:t xml:space="preserve">Provide the employee privacy notice, handbook and key policies separately; obtain acknowledgments without presenting them as waivers of mandatory rights.</w:t>
      </w:r>
    </w:p>
    <w:p>
      <w:pPr>
        <w:pStyle w:val="ListParagraph"/>
        <w:keepNext w:val="false"/>
        <w:numPr>
          <w:ilvl w:val="0"/>
          <w:numId w:val="1"/>
        </w:numPr>
        <w:spacing w:after="120" w:line="264"/>
      </w:pPr>
      <w:r>
        <w:rPr>
          <w:rFonts w:ascii="Calibri" w:cs="Calibri" w:eastAsia="Calibri" w:hAnsi="Calibri"/>
          <w:sz w:val="22"/>
          <w:szCs w:val="22"/>
        </w:rPr>
        <w:t xml:space="preserve">Give each party the exact signed agreement and attachments, and preserve evidence of delivery and signing.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onward, subject to the recorded review cycle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Labor Code of the Philippines (Presidential Decree No. 442), as amended and renumbered — DOLE 2022 edition - Art. 83: normal hours not exceeding eight a day; Art. 87: overtime; Art. 103: time of payment; Arts. 295–300 [280–285]: employment status, probation (Art. 296 [281]), termination, and resignation on one month's written notice (Art. 300 [285]) (checked 2026-10-01)</w:t>
      </w:r>
    </w:p>
    <w:p>
      <w:pPr>
        <w:spacing w:after="120"/>
      </w:pPr>
      <w:hyperlink w:history="1" r:id="rIdsqyqqkuasbd_g2rdfmxur">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Mitsubishi Motors Philippines Corp. v. Chrysler Philippines Labor Union, G.R. No. 148738 (June 29, 2004) - Six months of probation is 180 days, counted by excluding the first day (Civil Code Art. 13) (checked 2026-10-01)</w:t>
      </w:r>
    </w:p>
    <w:p>
      <w:pPr>
        <w:spacing w:after="120"/>
      </w:pPr>
      <w:hyperlink w:history="1" r:id="rId5d5hckksrhao1okizv2yn">
        <w:r>
          <w:rPr>
            <w:rFonts w:ascii="Calibri" w:cs="Calibri" w:eastAsia="Calibri" w:hAnsi="Calibri"/>
            <w:color w:val="315B75"/>
            <w:sz w:val="17"/>
            <w:szCs w:val="17"/>
            <w:u w:val="single"/>
          </w:rPr>
          <w:t xml:space="preserve">https://lawphil.net/judjuris/juri2004/jun2004/gr_148738_2004.html</w:t>
        </w:r>
      </w:hyperlink>
    </w:p>
    <w:p>
      <w:pPr>
        <w:keepNext/>
        <w:spacing w:after="60" w:before="100"/>
      </w:pPr>
      <w:r>
        <w:rPr>
          <w:rFonts w:ascii="Calibri" w:cs="Calibri" w:eastAsia="Calibri" w:hAnsi="Calibri"/>
          <w:b/>
          <w:bCs/>
          <w:sz w:val="18"/>
          <w:szCs w:val="18"/>
        </w:rPr>
        <w:t xml:space="preserve">Abbott Laboratories, Philippines v. Alcaraz, G.R. No. 192571 (July 23, 2013) - Standards must be made known at the time of engagement, or the employee is deemed regular (Implementing Rules, Book VI, Rule I, Sec. 6(d)) (checked 2026-10-01)</w:t>
      </w:r>
    </w:p>
    <w:p>
      <w:pPr>
        <w:spacing w:after="120"/>
      </w:pPr>
      <w:hyperlink w:history="1" r:id="rId3dmxudoy996oof6jymkxz">
        <w:r>
          <w:rPr>
            <w:rFonts w:ascii="Calibri" w:cs="Calibri" w:eastAsia="Calibri" w:hAnsi="Calibri"/>
            <w:color w:val="315B75"/>
            <w:sz w:val="17"/>
            <w:szCs w:val="17"/>
            <w:u w:val="single"/>
          </w:rPr>
          <w:t xml:space="preserve">https://lawphil.net/judjuris/juri2013/jul2013/gr_192571_2013.html</w:t>
        </w:r>
      </w:hyperlink>
    </w:p>
    <w:p>
      <w:pPr>
        <w:keepNext/>
        <w:spacing w:after="60" w:before="100"/>
      </w:pPr>
      <w:r>
        <w:rPr>
          <w:rFonts w:ascii="Calibri" w:cs="Calibri" w:eastAsia="Calibri" w:hAnsi="Calibri"/>
          <w:b/>
          <w:bCs/>
          <w:sz w:val="18"/>
          <w:szCs w:val="18"/>
        </w:rPr>
        <w:t xml:space="preserve">2024 Handbook on Workers' Statutory Monetary Benefits - Current DOLE summary of wages, premium pay, leave, 13th-month pay, separation, and retirement benefits (checked 2026-08-29)</w:t>
      </w:r>
    </w:p>
    <w:p>
      <w:pPr>
        <w:spacing w:after="120"/>
      </w:pPr>
      <w:hyperlink w:history="1" r:id="rIdttyigodb23oz0wo6i6j4x">
        <w:r>
          <w:rPr>
            <w:rFonts w:ascii="Calibri" w:cs="Calibri" w:eastAsia="Calibri" w:hAnsi="Calibri"/>
            <w:color w:val="315B75"/>
            <w:sz w:val="17"/>
            <w:szCs w:val="17"/>
            <w:u w:val="single"/>
          </w:rPr>
          <w:t xml:space="preserve">https://nwpc.dole.gov.ph/wp-content/uploads/2024/11/Workers-Statutory-Monetary-Benefits-Handbook-2024-Edition.pdf</w:t>
        </w:r>
      </w:hyperlink>
    </w:p>
    <w:p>
      <w:pPr>
        <w:keepNext/>
        <w:spacing w:after="60" w:before="100"/>
      </w:pPr>
      <w:r>
        <w:rPr>
          <w:rFonts w:ascii="Calibri" w:cs="Calibri" w:eastAsia="Calibri" w:hAnsi="Calibri"/>
          <w:b/>
          <w:bCs/>
          <w:sz w:val="18"/>
          <w:szCs w:val="18"/>
        </w:rPr>
        <w:t xml:space="preserve">Presidential Decree No. 851 and implementing rules - 13th-month pay (checked 2026-08-29)</w:t>
      </w:r>
    </w:p>
    <w:p>
      <w:pPr>
        <w:spacing w:after="120"/>
      </w:pPr>
      <w:hyperlink w:history="1" r:id="rIdbe6ioossdihjhw4onogxd">
        <w:r>
          <w:rPr>
            <w:rFonts w:ascii="Calibri" w:cs="Calibri" w:eastAsia="Calibri" w:hAnsi="Calibri"/>
            <w:color w:val="315B75"/>
            <w:sz w:val="17"/>
            <w:szCs w:val="17"/>
            <w:u w:val="single"/>
          </w:rPr>
          <w:t xml:space="preserve">https://lawphil.net/statutes/presdecs/pd1975/pd_851_1975.html</w:t>
        </w:r>
      </w:hyperlink>
    </w:p>
    <w:p>
      <w:pPr>
        <w:keepNext/>
        <w:spacing w:after="60" w:before="100"/>
      </w:pPr>
      <w:r>
        <w:rPr>
          <w:rFonts w:ascii="Calibri" w:cs="Calibri" w:eastAsia="Calibri" w:hAnsi="Calibri"/>
          <w:b/>
          <w:bCs/>
          <w:sz w:val="18"/>
          <w:szCs w:val="18"/>
        </w:rPr>
        <w:t xml:space="preserve">Occupational Safety and Health Standards Law (Republic Act No. 11058) - Workplace safety duties and worker rights (checked 2026-08-29)</w:t>
      </w:r>
    </w:p>
    <w:p>
      <w:pPr>
        <w:spacing w:after="120"/>
      </w:pPr>
      <w:hyperlink w:history="1" r:id="rIdrqhkrun32fdozj9n2wg79">
        <w:r>
          <w:rPr>
            <w:rFonts w:ascii="Calibri" w:cs="Calibri" w:eastAsia="Calibri" w:hAnsi="Calibri"/>
            <w:color w:val="315B75"/>
            <w:sz w:val="17"/>
            <w:szCs w:val="17"/>
            <w:u w:val="single"/>
          </w:rPr>
          <w:t xml:space="preserve">https://lawphil.net/statutes/repacts/ra2018/ra_11058_2018.html</w:t>
        </w:r>
      </w:hyperlink>
    </w:p>
    <w:p>
      <w:pPr>
        <w:keepNext/>
        <w:spacing w:after="60" w:before="100"/>
      </w:pPr>
      <w:r>
        <w:rPr>
          <w:rFonts w:ascii="Calibri" w:cs="Calibri" w:eastAsia="Calibri" w:hAnsi="Calibri"/>
          <w:b/>
          <w:bCs/>
          <w:sz w:val="18"/>
          <w:szCs w:val="18"/>
        </w:rPr>
        <w:t xml:space="preserve">Telecommuting Act (Republic Act No. 11165) - Private-sector telecommuting and fair-treatment requirements (checked 2026-08-29)</w:t>
      </w:r>
    </w:p>
    <w:p>
      <w:pPr>
        <w:spacing w:after="120"/>
      </w:pPr>
      <w:hyperlink w:history="1" r:id="rIdej2cw_fegzr-z-ahr3jw0">
        <w:r>
          <w:rPr>
            <w:rFonts w:ascii="Calibri" w:cs="Calibri" w:eastAsia="Calibri" w:hAnsi="Calibri"/>
            <w:color w:val="315B75"/>
            <w:sz w:val="17"/>
            <w:szCs w:val="17"/>
            <w:u w:val="single"/>
          </w:rPr>
          <w:t xml:space="preserve">https://lawphil.net/statutes/repacts/ra2018/pdf/ra_11165_2018.pdf</w:t>
        </w:r>
      </w:hyperlink>
    </w:p>
    <w:p>
      <w:pPr>
        <w:keepNext/>
        <w:spacing w:after="60" w:before="100"/>
      </w:pPr>
      <w:r>
        <w:rPr>
          <w:rFonts w:ascii="Calibri" w:cs="Calibri" w:eastAsia="Calibri" w:hAnsi="Calibri"/>
          <w:b/>
          <w:bCs/>
          <w:sz w:val="18"/>
          <w:szCs w:val="18"/>
        </w:rPr>
        <w:t xml:space="preserve">Data Privacy Act of 2012 (Republic Act No. 10173) - Lawful, transparent, proportionate employee-data processing and data-subject rights (checked 2026-08-29)</w:t>
      </w:r>
    </w:p>
    <w:p>
      <w:pPr>
        <w:spacing w:after="120"/>
      </w:pPr>
      <w:hyperlink w:history="1" r:id="rIdcppalszwjiuhf6dnb1qdk">
        <w:r>
          <w:rPr>
            <w:rFonts w:ascii="Calibri" w:cs="Calibri" w:eastAsia="Calibri" w:hAnsi="Calibri"/>
            <w:color w:val="315B75"/>
            <w:sz w:val="17"/>
            <w:szCs w:val="17"/>
            <w:u w:val="single"/>
          </w:rPr>
          <w:t xml:space="preserve">https://privacy.gov.ph/data-privacy-act/</w:t>
        </w:r>
      </w:hyperlink>
    </w:p>
    <w:p>
      <w:pPr>
        <w:keepNext/>
        <w:spacing w:after="60" w:before="100"/>
      </w:pPr>
      <w:r>
        <w:rPr>
          <w:rFonts w:ascii="Calibri" w:cs="Calibri" w:eastAsia="Calibri" w:hAnsi="Calibri"/>
          <w:b/>
          <w:bCs/>
          <w:sz w:val="18"/>
          <w:szCs w:val="18"/>
        </w:rPr>
        <w:t xml:space="preserve">Intellectual Property Code (Republic Act No. 8293), as amended - Employee-created works and inventions; moral rights; written assignments where applicable (checked 2026-08-29)</w:t>
      </w:r>
    </w:p>
    <w:p>
      <w:pPr>
        <w:spacing w:after="120"/>
      </w:pPr>
      <w:hyperlink w:history="1" r:id="rIdnzmcfssidzh8shlmjknlm">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Electronic Commerce Act of 2000 (Republic Act No. 8792) - Secs. 6–8 on electronic documents and signatures (checked 2026-08-29)</w:t>
      </w:r>
    </w:p>
    <w:p>
      <w:pPr>
        <w:spacing w:after="120"/>
      </w:pPr>
      <w:hyperlink w:history="1" r:id="rIdfofax5fnbhohxvkrv5iz8">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yqqkuasbd_g2rdfmxur" Type="http://schemas.openxmlformats.org/officeDocument/2006/relationships/hyperlink" Target="https://web.archive.org/web/20220402205705/https://bwc.dole.gov.ph/images/Downloads/2022_02_02_LaborCode_ofthe_Philippines_2022DOLE_edition.pdf" TargetMode="External"/><Relationship Id="rId5d5hckksrhao1okizv2yn" Type="http://schemas.openxmlformats.org/officeDocument/2006/relationships/hyperlink" Target="https://lawphil.net/judjuris/juri2004/jun2004/gr_148738_2004.html" TargetMode="External"/><Relationship Id="rId3dmxudoy996oof6jymkxz" Type="http://schemas.openxmlformats.org/officeDocument/2006/relationships/hyperlink" Target="https://lawphil.net/judjuris/juri2013/jul2013/gr_192571_2013.html" TargetMode="External"/><Relationship Id="rIdttyigodb23oz0wo6i6j4x" Type="http://schemas.openxmlformats.org/officeDocument/2006/relationships/hyperlink" Target="https://nwpc.dole.gov.ph/wp-content/uploads/2024/11/Workers-Statutory-Monetary-Benefits-Handbook-2024-Edition.pdf" TargetMode="External"/><Relationship Id="rIdbe6ioossdihjhw4onogxd" Type="http://schemas.openxmlformats.org/officeDocument/2006/relationships/hyperlink" Target="https://lawphil.net/statutes/presdecs/pd1975/pd_851_1975.html" TargetMode="External"/><Relationship Id="rIdrqhkrun32fdozj9n2wg79" Type="http://schemas.openxmlformats.org/officeDocument/2006/relationships/hyperlink" Target="https://lawphil.net/statutes/repacts/ra2018/ra_11058_2018.html" TargetMode="External"/><Relationship Id="rIdej2cw_fegzr-z-ahr3jw0" Type="http://schemas.openxmlformats.org/officeDocument/2006/relationships/hyperlink" Target="https://lawphil.net/statutes/repacts/ra2018/pdf/ra_11165_2018.pdf" TargetMode="External"/><Relationship Id="rIdcppalszwjiuhf6dnb1qdk" Type="http://schemas.openxmlformats.org/officeDocument/2006/relationships/hyperlink" Target="https://privacy.gov.ph/data-privacy-act/" TargetMode="External"/><Relationship Id="rIdnzmcfssidzh8shlmjknlm" Type="http://schemas.openxmlformats.org/officeDocument/2006/relationships/hyperlink" Target="https://lawphil.net/statutes/repacts/ra1997/ra_8293_1997.html" TargetMode="External"/><Relationship Id="rIdfofax5fnbhohxvkrv5iz8" Type="http://schemas.openxmlformats.org/officeDocument/2006/relationships/hyperlink" Target="https://lawphil.net/statutes/repacts/ra2000/ra_8792_2000.html"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Agreement</dc:title>
  <dc:creator>LAW.PH</dc:creator>
  <dc:description>Free sample of the Employment Agreement from LAW.PH, with fictional details</dc:description>
  <cp:lastModifiedBy>Un-named</cp:lastModifiedBy>
  <cp:revision>1</cp:revision>
  <dcterms:created xsi:type="dcterms:W3CDTF">2026-10-02T05:29:58.349Z</dcterms:created>
  <dcterms:modified xsi:type="dcterms:W3CDTF">2026-10-02T05:29:58.349Z</dcterms:modified>
</cp:coreProperties>
</file>

<file path=docProps/custom.xml><?xml version="1.0" encoding="utf-8"?>
<Properties xmlns="http://schemas.openxmlformats.org/officeDocument/2006/custom-properties" xmlns:vt="http://schemas.openxmlformats.org/officeDocument/2006/docPropsVTypes"/>
</file>