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EMPLOYMENT SEPARATION AND FINAL-PAY ACKNOWLEDGMENT</w:t>
      </w:r>
    </w:p>
    <w:p>
      <w:pPr>
        <w:spacing w:after="160"/>
        <w:jc w:val="center"/>
      </w:pPr>
      <w:r>
        <w:rPr>
          <w:rFonts w:ascii="Calibri" w:cs="Calibri" w:eastAsia="Calibri" w:hAnsi="Calibri"/>
          <w:color w:val="566674"/>
          <w:sz w:val="18"/>
          <w:szCs w:val="18"/>
        </w:rPr>
        <w:t xml:space="preserve">Republic of the Philippines — Private-sector employment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labor-lawyer review pending</w:t>
      </w:r>
    </w:p>
    <w:p>
      <w:pPr>
        <w:keepLines/>
        <w:spacing w:after="120" w:line="264"/>
        <w:jc w:val="both"/>
      </w:pPr>
      <w:r>
        <w:rPr>
          <w:rFonts w:ascii="Calibri" w:cs="Calibri" w:eastAsia="Calibri" w:hAnsi="Calibri"/>
          <w:sz w:val="22"/>
          <w:szCs w:val="22"/>
        </w:rPr>
        <w:t xml:space="preserve">This Employment Separation and Final-Pay Acknowledgment (the "Acknowledgment") is made on October 20, 2026 at Makati City, Philippines, between Bayanihan Digital Services, Inc., with address at 18/F One Ayala Tower, Ayala Avenue, Makati City 1226 (the "Employer"), and Juan Miguel Santos, residing at Unit 8B, Sampaguita Residences, Quezon City 1100 (the "Employee").</w:t>
      </w:r>
    </w:p>
    <w:p>
      <w:pPr>
        <w:pStyle w:val="Heading2"/>
        <w:keepNext/>
        <w:spacing w:after="120" w:before="240"/>
      </w:pPr>
      <w:r>
        <w:rPr>
          <w:rFonts w:ascii="Calibri" w:cs="Calibri" w:eastAsia="Calibri" w:hAnsi="Calibri"/>
          <w:b/>
          <w:bCs/>
          <w:color w:val="102B3F"/>
          <w:sz w:val="26"/>
          <w:szCs w:val="26"/>
        </w:rPr>
        <w:t xml:space="preserve">1. Separation</w:t>
      </w:r>
    </w:p>
    <w:p>
      <w:pPr>
        <w:keepLines/>
        <w:spacing w:after="120" w:line="264"/>
        <w:jc w:val="both"/>
      </w:pPr>
      <w:r>
        <w:rPr>
          <w:rFonts w:ascii="Calibri" w:cs="Calibri" w:eastAsia="Calibri" w:hAnsi="Calibri"/>
          <w:sz w:val="22"/>
          <w:szCs w:val="22"/>
        </w:rPr>
        <w:t xml:space="preserve">The Employee worked for the Employer as Senior Customer Support Specialist from January 10, 2022. The employment ended on September 30, 2026 by reason of the Employee's resignation.</w:t>
      </w:r>
    </w:p>
    <w:p>
      <w:pPr>
        <w:keepLines/>
        <w:spacing w:after="120" w:line="264"/>
        <w:jc w:val="both"/>
      </w:pPr>
      <w:r>
        <w:rPr>
          <w:rFonts w:ascii="Calibri" w:cs="Calibri" w:eastAsia="Calibri" w:hAnsi="Calibri"/>
          <w:sz w:val="22"/>
          <w:szCs w:val="22"/>
        </w:rPr>
        <w:t xml:space="preserve">This Acknowledgment records turnover, company property, and specific payments. It does not decide whether the separation was lawful, and it does not release any claim.</w:t>
      </w:r>
    </w:p>
    <w:p>
      <w:pPr>
        <w:pStyle w:val="Heading2"/>
        <w:keepNext/>
        <w:spacing w:after="120" w:before="240"/>
      </w:pPr>
      <w:r>
        <w:rPr>
          <w:rFonts w:ascii="Calibri" w:cs="Calibri" w:eastAsia="Calibri" w:hAnsi="Calibri"/>
          <w:b/>
          <w:bCs/>
          <w:color w:val="102B3F"/>
          <w:sz w:val="26"/>
          <w:szCs w:val="26"/>
        </w:rPr>
        <w:t xml:space="preserve">2. Turnover and company property</w:t>
      </w:r>
    </w:p>
    <w:p>
      <w:pPr>
        <w:keepLines/>
        <w:spacing w:after="120" w:line="264"/>
        <w:jc w:val="both"/>
      </w:pPr>
      <w:r>
        <w:rPr>
          <w:rFonts w:ascii="Calibri" w:cs="Calibri" w:eastAsia="Calibri" w:hAnsi="Calibri"/>
          <w:sz w:val="22"/>
          <w:szCs w:val="22"/>
        </w:rPr>
        <w:t xml:space="preserve">Turnover of work and records is completed. Active tickets and the escalation notebook were handed over to the team lead on 28 September 2026.</w:t>
      </w:r>
    </w:p>
    <w:p>
      <w:pPr>
        <w:keepLines/>
        <w:spacing w:after="120" w:line="264"/>
        <w:jc w:val="both"/>
      </w:pPr>
      <w:r>
        <w:rPr>
          <w:rFonts w:ascii="Calibri" w:cs="Calibri" w:eastAsia="Calibri" w:hAnsi="Calibri"/>
          <w:sz w:val="22"/>
          <w:szCs w:val="22"/>
        </w:rPr>
        <w:t xml:space="preserve">Company property returned: One company laptop, one ID card, and one access token.</w:t>
      </w:r>
    </w:p>
    <w:p>
      <w:pPr>
        <w:keepLines/>
        <w:spacing w:after="120" w:line="264"/>
        <w:jc w:val="both"/>
      </w:pPr>
      <w:r>
        <w:rPr>
          <w:rFonts w:ascii="Calibri" w:cs="Calibri" w:eastAsia="Calibri" w:hAnsi="Calibri"/>
          <w:sz w:val="22"/>
          <w:szCs w:val="22"/>
        </w:rPr>
        <w:t xml:space="preserve">No company property is recorded as outstanding.</w:t>
      </w:r>
    </w:p>
    <w:p>
      <w:pPr>
        <w:keepLines/>
        <w:spacing w:after="120" w:line="264"/>
        <w:jc w:val="both"/>
      </w:pPr>
      <w:r>
        <w:rPr>
          <w:rFonts w:ascii="Calibri" w:cs="Calibri" w:eastAsia="Calibri" w:hAnsi="Calibri"/>
          <w:sz w:val="22"/>
          <w:szCs w:val="22"/>
        </w:rPr>
        <w:t xml:space="preserve">Company accounts, credentials, and system access have been closed.</w:t>
      </w:r>
    </w:p>
    <w:p>
      <w:pPr>
        <w:pStyle w:val="Heading2"/>
        <w:keepNext/>
        <w:spacing w:after="120" w:before="240"/>
      </w:pPr>
      <w:r>
        <w:rPr>
          <w:rFonts w:ascii="Calibri" w:cs="Calibri" w:eastAsia="Calibri" w:hAnsi="Calibri"/>
          <w:b/>
          <w:bCs/>
          <w:color w:val="102B3F"/>
          <w:sz w:val="26"/>
          <w:szCs w:val="26"/>
        </w:rPr>
        <w:t xml:space="preserve">3. Final pay</w:t>
      </w:r>
    </w:p>
    <w:p>
      <w:pPr>
        <w:keepLines/>
        <w:spacing w:after="120" w:line="264"/>
        <w:jc w:val="both"/>
      </w:pPr>
      <w:r>
        <w:rPr>
          <w:rFonts w:ascii="Calibri" w:cs="Calibri" w:eastAsia="Calibri" w:hAnsi="Calibri"/>
          <w:sz w:val="22"/>
          <w:szCs w:val="22"/>
        </w:rPr>
        <w:t xml:space="preserve">The Employer states the following final-pay components, taken from its payroll records:</w:t>
      </w:r>
    </w:p>
    <w:p>
      <w:pPr>
        <w:keepLines/>
        <w:spacing w:after="120" w:line="264"/>
        <w:jc w:val="both"/>
      </w:pPr>
      <w:r>
        <w:rPr>
          <w:rFonts w:ascii="Calibri" w:cs="Calibri" w:eastAsia="Calibri" w:hAnsi="Calibri"/>
          <w:sz w:val="22"/>
          <w:szCs w:val="22"/>
        </w:rPr>
        <w:t xml:space="preserve">Unpaid salary and wages: PHP 18,000.00</w:t>
      </w:r>
    </w:p>
    <w:p>
      <w:pPr>
        <w:keepLines/>
        <w:spacing w:after="120" w:line="264"/>
        <w:jc w:val="both"/>
      </w:pPr>
      <w:r>
        <w:rPr>
          <w:rFonts w:ascii="Calibri" w:cs="Calibri" w:eastAsia="Calibri" w:hAnsi="Calibri"/>
          <w:sz w:val="22"/>
          <w:szCs w:val="22"/>
        </w:rPr>
        <w:t xml:space="preserve">Cash value of unused convertible leave: PHP 4,500.00</w:t>
      </w:r>
    </w:p>
    <w:p>
      <w:pPr>
        <w:keepLines/>
        <w:spacing w:after="120" w:line="264"/>
        <w:jc w:val="both"/>
      </w:pPr>
      <w:r>
        <w:rPr>
          <w:rFonts w:ascii="Calibri" w:cs="Calibri" w:eastAsia="Calibri" w:hAnsi="Calibri"/>
          <w:sz w:val="22"/>
          <w:szCs w:val="22"/>
        </w:rPr>
        <w:t xml:space="preserve">Pro-rated 13th-month pay: PHP 19,500.00</w:t>
      </w:r>
    </w:p>
    <w:p>
      <w:pPr>
        <w:keepLines/>
        <w:spacing w:after="120" w:line="264"/>
        <w:jc w:val="both"/>
      </w:pPr>
      <w:r>
        <w:rPr>
          <w:rFonts w:ascii="Calibri" w:cs="Calibri" w:eastAsia="Calibri" w:hAnsi="Calibri"/>
          <w:sz w:val="22"/>
          <w:szCs w:val="22"/>
        </w:rPr>
        <w:t xml:space="preserve">Separation, retirement, or other benefit due by law or agreement: PHP 0.00</w:t>
      </w:r>
    </w:p>
    <w:p>
      <w:pPr>
        <w:keepLines/>
        <w:spacing w:after="120" w:line="264"/>
        <w:jc w:val="both"/>
      </w:pPr>
      <w:r>
        <w:rPr>
          <w:rFonts w:ascii="Calibri" w:cs="Calibri" w:eastAsia="Calibri" w:hAnsi="Calibri"/>
          <w:sz w:val="22"/>
          <w:szCs w:val="22"/>
        </w:rPr>
        <w:t xml:space="preserve">Other amounts due: PHP 0.00</w:t>
      </w:r>
    </w:p>
    <w:p>
      <w:pPr>
        <w:keepLines/>
        <w:spacing w:after="120" w:line="264"/>
        <w:jc w:val="both"/>
      </w:pPr>
      <w:r>
        <w:rPr>
          <w:rFonts w:ascii="Calibri" w:cs="Calibri" w:eastAsia="Calibri" w:hAnsi="Calibri"/>
          <w:sz w:val="22"/>
          <w:szCs w:val="22"/>
        </w:rPr>
        <w:t xml:space="preserve">Less lawful deductions: PHP 0.00</w:t>
      </w:r>
    </w:p>
    <w:p>
      <w:pPr>
        <w:keepLines/>
        <w:spacing w:after="120" w:line="264"/>
        <w:jc w:val="both"/>
      </w:pPr>
      <w:r>
        <w:rPr>
          <w:rFonts w:ascii="Calibri" w:cs="Calibri" w:eastAsia="Calibri" w:hAnsi="Calibri"/>
          <w:sz w:val="22"/>
          <w:szCs w:val="22"/>
        </w:rPr>
        <w:t xml:space="preserve">Less tax withheld: PHP 0.00</w:t>
      </w:r>
    </w:p>
    <w:p>
      <w:pPr>
        <w:keepLines/>
        <w:spacing w:after="120" w:line="264"/>
        <w:jc w:val="both"/>
      </w:pPr>
      <w:r>
        <w:rPr>
          <w:rFonts w:ascii="Calibri" w:cs="Calibri" w:eastAsia="Calibri" w:hAnsi="Calibri"/>
          <w:sz w:val="22"/>
          <w:szCs w:val="22"/>
        </w:rPr>
        <w:t xml:space="preserve">Net final pay: PHP 42,000.00</w:t>
      </w:r>
    </w:p>
    <w:p>
      <w:pPr>
        <w:keepLines/>
        <w:spacing w:after="120" w:line="264"/>
        <w:jc w:val="both"/>
      </w:pPr>
      <w:r>
        <w:rPr>
          <w:rFonts w:ascii="Calibri" w:cs="Calibri" w:eastAsia="Calibri" w:hAnsi="Calibri"/>
          <w:sz w:val="22"/>
          <w:szCs w:val="22"/>
        </w:rPr>
        <w:t xml:space="preserve">The Employer paid the net final pay in full on October 20, 2026 by Bank transfer to the employee's payroll account.</w:t>
      </w:r>
    </w:p>
    <w:p>
      <w:pPr>
        <w:keepLines/>
        <w:spacing w:after="120" w:line="264"/>
        <w:jc w:val="both"/>
      </w:pPr>
      <w:r>
        <w:rPr>
          <w:rFonts w:ascii="Calibri" w:cs="Calibri" w:eastAsia="Calibri" w:hAnsi="Calibri"/>
          <w:sz w:val="22"/>
          <w:szCs w:val="22"/>
        </w:rPr>
        <w:t xml:space="preserve">The Employee may ask for the payroll computation behind any line and may dispute any line. Signing this Acknowledgment does not stop the Employee from claiming any amount that is due but is not listed or is understated.</w:t>
      </w:r>
    </w:p>
    <w:p>
      <w:pPr>
        <w:pStyle w:val="Heading2"/>
        <w:keepNext/>
        <w:spacing w:after="120" w:before="240"/>
      </w:pPr>
      <w:r>
        <w:rPr>
          <w:rFonts w:ascii="Calibri" w:cs="Calibri" w:eastAsia="Calibri" w:hAnsi="Calibri"/>
          <w:b/>
          <w:bCs/>
          <w:color w:val="102B3F"/>
          <w:sz w:val="26"/>
          <w:szCs w:val="26"/>
        </w:rPr>
        <w:t xml:space="preserve">4. Certificate of Employment</w:t>
      </w:r>
    </w:p>
    <w:p>
      <w:pPr>
        <w:keepLines/>
        <w:spacing w:after="120" w:line="264"/>
        <w:jc w:val="both"/>
      </w:pPr>
      <w:r>
        <w:rPr>
          <w:rFonts w:ascii="Calibri" w:cs="Calibri" w:eastAsia="Calibri" w:hAnsi="Calibri"/>
          <w:sz w:val="22"/>
          <w:szCs w:val="22"/>
        </w:rPr>
        <w:t xml:space="preserve">The Employer issued a Certificate of Employment on October 2, 2026.</w:t>
      </w:r>
    </w:p>
    <w:p>
      <w:pPr>
        <w:pStyle w:val="Heading2"/>
        <w:keepNext/>
        <w:spacing w:after="120" w:before="240"/>
      </w:pPr>
      <w:r>
        <w:rPr>
          <w:rFonts w:ascii="Calibri" w:cs="Calibri" w:eastAsia="Calibri" w:hAnsi="Calibri"/>
          <w:b/>
          <w:bCs/>
          <w:color w:val="102B3F"/>
          <w:sz w:val="26"/>
          <w:szCs w:val="26"/>
        </w:rPr>
        <w:t xml:space="preserve">5. Limited acknowledgments</w:t>
      </w:r>
    </w:p>
    <w:p>
      <w:pPr>
        <w:keepLines/>
        <w:spacing w:after="120" w:line="264"/>
        <w:jc w:val="both"/>
      </w:pPr>
      <w:r>
        <w:rPr>
          <w:rFonts w:ascii="Calibri" w:cs="Calibri" w:eastAsia="Calibri" w:hAnsi="Calibri"/>
          <w:sz w:val="22"/>
          <w:szCs w:val="22"/>
        </w:rPr>
        <w:t xml:space="preserve">The Employee acknowledges only that: turnover of work and records has been completed; the company property listed in Section 2 was returned; the final-pay amounts listed in Section 3 as received were actually received; a Certificate of Employment was received.</w:t>
      </w:r>
    </w:p>
    <w:p>
      <w:pPr>
        <w:keepLines/>
        <w:spacing w:after="120" w:line="264"/>
        <w:jc w:val="both"/>
      </w:pPr>
      <w:r>
        <w:rPr>
          <w:rFonts w:ascii="Calibri" w:cs="Calibri" w:eastAsia="Calibri" w:hAnsi="Calibri"/>
          <w:sz w:val="22"/>
          <w:szCs w:val="22"/>
        </w:rPr>
        <w:t xml:space="preserve">These acknowledgments are limited to the facts stated. They are not an admission of liability and not a waiver.</w:t>
      </w:r>
    </w:p>
    <w:p>
      <w:pPr>
        <w:pStyle w:val="Heading2"/>
        <w:keepNext/>
        <w:spacing w:after="120" w:before="240"/>
      </w:pPr>
      <w:r>
        <w:rPr>
          <w:rFonts w:ascii="Calibri" w:cs="Calibri" w:eastAsia="Calibri" w:hAnsi="Calibri"/>
          <w:b/>
          <w:bCs/>
          <w:color w:val="102B3F"/>
          <w:sz w:val="26"/>
          <w:szCs w:val="26"/>
        </w:rPr>
        <w:t xml:space="preserve">6. Rights preserved</w:t>
      </w:r>
    </w:p>
    <w:p>
      <w:pPr>
        <w:keepLines/>
        <w:spacing w:after="120" w:line="264"/>
        <w:jc w:val="both"/>
      </w:pPr>
      <w:r>
        <w:rPr>
          <w:rFonts w:ascii="Calibri" w:cs="Calibri" w:eastAsia="Calibri" w:hAnsi="Calibri"/>
          <w:sz w:val="22"/>
          <w:szCs w:val="22"/>
        </w:rPr>
        <w:t xml:space="preserve">This Acknowledgment is not a quitclaim, release, or waiver. It does not waive unpaid wages, separation pay, benefits, or any other entitlement that law, contract, policy, or agreement gives the Employee, or any claim the Employee has not yet discovered.</w:t>
      </w:r>
    </w:p>
    <w:p>
      <w:pPr>
        <w:keepLines/>
        <w:spacing w:after="120" w:line="264"/>
        <w:jc w:val="both"/>
      </w:pPr>
      <w:r>
        <w:rPr>
          <w:rFonts w:ascii="Calibri" w:cs="Calibri" w:eastAsia="Calibri" w:hAnsi="Calibri"/>
          <w:sz w:val="22"/>
          <w:szCs w:val="22"/>
        </w:rPr>
        <w:t xml:space="preserve">The Employee signs voluntarily, after reading this document and having the chance to consult a lawyer, a union, or the DOLE, and was not required to sign it before receiving amounts already due. Any dispute shall first go through the DOLE conciliation-mediation process or, in an organized establishment, the CBA grievance machinery.</w:t>
      </w:r>
    </w:p>
    <w:p>
      <w:pPr>
        <w:keepNext/>
        <w:spacing w:after="260" w:before="360"/>
      </w:pPr>
      <w:r>
        <w:rPr>
          <w:rFonts w:ascii="Calibri" w:cs="Calibri" w:eastAsia="Calibri" w:hAnsi="Calibri"/>
          <w:b/>
          <w:bCs/>
          <w:sz w:val="22"/>
          <w:szCs w:val="22"/>
        </w:rPr>
        <w:t xml:space="preserve">SIGNED on October 20, 2026 at Makati City, Philippines. Each party keeps a signed copy.</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EMPLOYER</w:t>
            </w:r>
          </w:p>
          <w:p>
            <w:pPr>
              <w:spacing w:after="120"/>
            </w:pPr>
            <w:r>
              <w:rPr>
                <w:rFonts w:ascii="Calibri" w:cs="Calibri" w:eastAsia="Calibri" w:hAnsi="Calibri"/>
                <w:sz w:val="22"/>
                <w:szCs w:val="22"/>
              </w:rPr>
              <w:t xml:space="preserve">Bayanihan Digital Services, Inc.
By: Andrea M. Reyes, HR Director
Signature over printed name: ______________________________</w:t>
            </w:r>
          </w:p>
          <w:p>
            <w:pPr>
              <w:spacing w:after="120"/>
            </w:pPr>
            <w:r>
              <w:rPr>
                <w:rFonts w:ascii="Calibri" w:cs="Calibri" w:eastAsia="Calibri" w:hAnsi="Calibri"/>
                <w:sz w:val="22"/>
                <w:szCs w:val="22"/>
              </w:rPr>
              <w:t xml:space="preserve">Employer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EMPLOYEE</w:t>
            </w:r>
          </w:p>
          <w:p>
            <w:pPr>
              <w:spacing w:after="120"/>
            </w:pPr>
            <w:r>
              <w:rPr>
                <w:rFonts w:ascii="Calibri" w:cs="Calibri" w:eastAsia="Calibri" w:hAnsi="Calibri"/>
                <w:sz w:val="22"/>
                <w:szCs w:val="22"/>
              </w:rPr>
              <w:t xml:space="preserve">Juan Miguel Santos
Signature over printed name: ______________________________</w:t>
            </w:r>
          </w:p>
          <w:p>
            <w:pPr>
              <w:spacing w:after="120"/>
            </w:pPr>
            <w:r>
              <w:rPr>
                <w:rFonts w:ascii="Calibri" w:cs="Calibri" w:eastAsia="Calibri" w:hAnsi="Calibri"/>
                <w:sz w:val="22"/>
                <w:szCs w:val="22"/>
              </w:rPr>
              <w:t xml:space="preserve">Employee</w:t>
            </w:r>
          </w:p>
          <w:p>
            <w:r>
              <w:rPr>
                <w:rFonts w:ascii="Calibri" w:cs="Calibri" w:eastAsia="Calibri" w:hAnsi="Calibri"/>
                <w:sz w:val="22"/>
                <w:szCs w:val="22"/>
              </w:rPr>
              <w:t xml:space="preserve">Date: ______________________________</w:t>
            </w:r>
          </w:p>
        </w:tc>
      </w:tr>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WITNESS</w:t>
            </w:r>
          </w:p>
          <w:p>
            <w:pPr>
              <w:spacing w:after="120"/>
            </w:pPr>
            <w:r>
              <w:rPr>
                <w:rFonts w:ascii="Calibri" w:cs="Calibri" w:eastAsia="Calibri" w:hAnsi="Calibri"/>
                <w:sz w:val="22"/>
                <w:szCs w:val="22"/>
              </w:rPr>
              <w:t xml:space="preserve">Carlo P. Mendoza
Signature over printed name: ______________________________</w:t>
            </w:r>
          </w:p>
          <w:p>
            <w:pPr>
              <w:spacing w:after="120"/>
            </w:pPr>
            <w:r>
              <w:rPr>
                <w:rFonts w:ascii="Calibri" w:cs="Calibri" w:eastAsia="Calibri" w:hAnsi="Calibri"/>
                <w:sz w:val="22"/>
                <w:szCs w:val="22"/>
              </w:rPr>
              <w:t xml:space="preserve">Witness</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r>
              <w:rPr>
                <w:rFonts w:ascii="Calibri" w:cs="Calibri" w:eastAsia="Calibri" w:hAnsi="Calibri"/>
                <w:sz w:val="22"/>
                <w:szCs w:val="22"/>
              </w:rPr>
              <w:t xml:space="preserve"/>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Final pay is generally released within 30 days from separation, and a Certificate of Employment within three days from request and without a clearance condition, unless a more favorable company policy or agreement applies (DOLE Labor Advisory No. 06, s. 2020).</w:t>
      </w:r>
    </w:p>
    <w:p>
      <w:pPr>
        <w:pStyle w:val="ListParagraph"/>
        <w:keepNext/>
        <w:numPr>
          <w:ilvl w:val="0"/>
          <w:numId w:val="1"/>
        </w:numPr>
        <w:spacing w:after="120" w:line="264"/>
      </w:pPr>
      <w:r>
        <w:rPr>
          <w:rFonts w:ascii="Calibri" w:cs="Calibri" w:eastAsia="Calibri" w:hAnsi="Calibri"/>
          <w:sz w:val="22"/>
          <w:szCs w:val="22"/>
        </w:rPr>
        <w:t xml:space="preserve">Itemize every component from the payroll records and keep the computation. For a just-cause dismissal or a resignation, separation pay is due only where a contract, policy, or CBA provides it.</w:t>
      </w:r>
    </w:p>
    <w:p>
      <w:pPr>
        <w:pStyle w:val="ListParagraph"/>
        <w:keepNext/>
        <w:numPr>
          <w:ilvl w:val="0"/>
          <w:numId w:val="1"/>
        </w:numPr>
        <w:spacing w:after="120" w:line="264"/>
      </w:pPr>
      <w:r>
        <w:rPr>
          <w:rFonts w:ascii="Calibri" w:cs="Calibri" w:eastAsia="Calibri" w:hAnsi="Calibri"/>
          <w:sz w:val="22"/>
          <w:szCs w:val="22"/>
        </w:rPr>
        <w:t xml:space="preserve">Deduct only what the law allows and only after showing the employee the basis and the amount (Article 113). Unreturned property, a training bond, or a cash advance is not an automatic deduction. Requiring clearance before releasing the last pay is a recognized procedure (Milan v. NLRC, G.R. No. 202961), but clearance may not delay the release beyond the 30-day period or justify a deduction the law does not allow.</w:t>
      </w:r>
    </w:p>
    <w:p>
      <w:pPr>
        <w:pStyle w:val="ListParagraph"/>
        <w:keepNext/>
        <w:numPr>
          <w:ilvl w:val="0"/>
          <w:numId w:val="1"/>
        </w:numPr>
        <w:spacing w:after="120" w:line="264"/>
      </w:pPr>
      <w:r>
        <w:rPr>
          <w:rFonts w:ascii="Calibri" w:cs="Calibri" w:eastAsia="Calibri" w:hAnsi="Calibri"/>
          <w:sz w:val="22"/>
          <w:szCs w:val="22"/>
        </w:rPr>
        <w:t xml:space="preserve">This document is not a release. Quitclaims are upheld only when voluntary, free of fraud, for credible and reasonable consideration, and not contrary to law (Goodrich Manufacturing v. Ativo, G.R. No. 188002). If a real settlement of a disputed claim is intended, take legal advice and consider the DOLE conciliation-mediation route.</w:t>
      </w:r>
    </w:p>
    <w:p>
      <w:pPr>
        <w:pStyle w:val="ListParagraph"/>
        <w:keepNext/>
        <w:numPr>
          <w:ilvl w:val="0"/>
          <w:numId w:val="1"/>
        </w:numPr>
        <w:spacing w:after="120" w:line="264"/>
      </w:pPr>
      <w:r>
        <w:rPr>
          <w:rFonts w:ascii="Calibri" w:cs="Calibri" w:eastAsia="Calibri" w:hAnsi="Calibri"/>
          <w:sz w:val="22"/>
          <w:szCs w:val="22"/>
        </w:rPr>
        <w:t xml:space="preserve">An employee should read every line, keep a copy, ask for the payslip and computation, and never sign to acknowledge receipt of an amount that was not actually received.</w:t>
      </w:r>
    </w:p>
    <w:p>
      <w:pPr>
        <w:pStyle w:val="ListParagraph"/>
        <w:keepNext/>
        <w:numPr>
          <w:ilvl w:val="0"/>
          <w:numId w:val="1"/>
        </w:numPr>
        <w:spacing w:after="120" w:line="264"/>
      </w:pPr>
      <w:r>
        <w:rPr>
          <w:rFonts w:ascii="Calibri" w:cs="Calibri" w:eastAsia="Calibri" w:hAnsi="Calibri"/>
          <w:sz w:val="22"/>
          <w:szCs w:val="22"/>
        </w:rPr>
        <w:t xml:space="preserve">Keep a signed inventory and return receipts for company property, and confirm that data, credentials, and access were closed.</w:t>
      </w:r>
    </w:p>
    <w:p>
      <w:pPr>
        <w:pStyle w:val="ListParagraph"/>
        <w:keepNext/>
        <w:numPr>
          <w:ilvl w:val="0"/>
          <w:numId w:val="1"/>
        </w:numPr>
        <w:spacing w:after="120" w:line="264"/>
      </w:pPr>
      <w:r>
        <w:rPr>
          <w:rFonts w:ascii="Calibri" w:cs="Calibri" w:eastAsia="Calibri" w:hAnsi="Calibri"/>
          <w:sz w:val="22"/>
          <w:szCs w:val="22"/>
        </w:rPr>
        <w:t xml:space="preserve">Issue BIR Form 2316 on the day the last wages are paid (NIRC Sec. 83(A)). The tax treatment of separation pay depends on the reason for separation, so confirm it with payroll or a tax adviser.</w:t>
      </w:r>
    </w:p>
    <w:p>
      <w:pPr>
        <w:pStyle w:val="ListParagraph"/>
        <w:keepNext/>
        <w:numPr>
          <w:ilvl w:val="0"/>
          <w:numId w:val="1"/>
        </w:numPr>
        <w:spacing w:after="120" w:line="264"/>
      </w:pPr>
      <w:r>
        <w:rPr>
          <w:rFonts w:ascii="Calibri" w:cs="Calibri" w:eastAsia="Calibri" w:hAnsi="Calibri"/>
          <w:sz w:val="22"/>
          <w:szCs w:val="22"/>
        </w:rPr>
        <w:t xml:space="preserve">Provide the final remittance proof and balances for SSS, PhilHealth, and Pag-IBIG contributions and any salary loans.</w:t>
      </w:r>
    </w:p>
    <w:p>
      <w:pPr>
        <w:pStyle w:val="ListParagraph"/>
        <w:keepNext/>
        <w:numPr>
          <w:ilvl w:val="0"/>
          <w:numId w:val="1"/>
        </w:numPr>
        <w:spacing w:after="120" w:line="264"/>
      </w:pPr>
      <w:r>
        <w:rPr>
          <w:rFonts w:ascii="Calibri" w:cs="Calibri" w:eastAsia="Calibri" w:hAnsi="Calibri"/>
          <w:sz w:val="22"/>
          <w:szCs w:val="22"/>
        </w:rPr>
        <w:t xml:space="preserve">The separation label must match the real circumstances. Resignation, end of contract, authorized cause, dismissal, and retirement carry different notice and pay rules.</w:t>
      </w:r>
    </w:p>
    <w:p>
      <w:pPr>
        <w:pStyle w:val="ListParagraph"/>
        <w:keepNext w:val="false"/>
        <w:numPr>
          <w:ilvl w:val="0"/>
          <w:numId w:val="1"/>
        </w:numPr>
        <w:spacing w:after="120" w:line="264"/>
      </w:pPr>
      <w:r>
        <w:rPr>
          <w:rFonts w:ascii="Calibri" w:cs="Calibri" w:eastAsia="Calibri" w:hAnsi="Calibri"/>
          <w:sz w:val="22"/>
          <w:szCs w:val="22"/>
        </w:rPr>
        <w:t xml:space="preserve">If the employee disputes the separation, refuses to sign, or alleges illegal dismissal or unpaid wages, speak to a Philippine labor lawyer or use the DOLE conciliation-mediation process.</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2026-09-21 onward, subject to the recorded review cycle | Independent Philippine labor-lawyer review pending | Last legal check 2026-10-01 | Next review due 2026-11-01</w:t>
      </w:r>
    </w:p>
    <w:p>
      <w:pPr>
        <w:keepNext/>
        <w:spacing w:after="60" w:before="100"/>
      </w:pPr>
      <w:r>
        <w:rPr>
          <w:rFonts w:ascii="Calibri" w:cs="Calibri" w:eastAsia="Calibri" w:hAnsi="Calibri"/>
          <w:b/>
          <w:bCs/>
          <w:sz w:val="18"/>
          <w:szCs w:val="18"/>
        </w:rPr>
        <w:t xml:space="preserve">Labor Code of the Philippines (Presidential Decree No. 442), as amended and renumbered — DOLE 2022 edition - Arts. 298–299 [283–284]: authorized causes, one-month prior written notice to the worker and DOLE, and minimum separation pay (a fraction of at least six months counts as one year); Art. 300 [285]: resignation; Art. 113: permitted wage deductions; Art. 302 [287]: retirement and minimum retirement pay of one-half month salary per year of service (checked 2026-10-01)</w:t>
      </w:r>
    </w:p>
    <w:p>
      <w:pPr>
        <w:spacing w:after="120"/>
      </w:pPr>
      <w:hyperlink w:history="1" r:id="rIdsxw7kttvo0xxoe1pp2jcb">
        <w:r>
          <w:rPr>
            <w:rFonts w:ascii="Calibri" w:cs="Calibri" w:eastAsia="Calibri" w:hAnsi="Calibri"/>
            <w:color w:val="315B75"/>
            <w:sz w:val="17"/>
            <w:szCs w:val="17"/>
            <w:u w:val="single"/>
          </w:rPr>
          <w:t xml:space="preserve">https://web.archive.org/web/20220402205705/https://bwc.dole.gov.ph/images/Downloads/2022_02_02_LaborCode_ofthe_Philippines_2022DOLE_edition.pdf</w:t>
        </w:r>
      </w:hyperlink>
    </w:p>
    <w:p>
      <w:pPr>
        <w:keepNext/>
        <w:spacing w:after="60" w:before="100"/>
      </w:pPr>
      <w:r>
        <w:rPr>
          <w:rFonts w:ascii="Calibri" w:cs="Calibri" w:eastAsia="Calibri" w:hAnsi="Calibri"/>
          <w:b/>
          <w:bCs/>
          <w:sz w:val="18"/>
          <w:szCs w:val="18"/>
        </w:rPr>
        <w:t xml:space="preserve">DOLE Department Order No. 147-15 — Amending the IRR of Book VI of the Labor Code - Sec. 5.5: separation pay by authorized cause (none where closure is due to serious business losses); Sec. 8: mandatory conciliation-mediation, and the CBA grievance machinery first in organized establishments (checked 2026-10-01)</w:t>
      </w:r>
    </w:p>
    <w:p>
      <w:pPr>
        <w:spacing w:after="120"/>
      </w:pPr>
      <w:hyperlink w:history="1" r:id="rIdk5xxysfjhpx8kivakbani">
        <w:r>
          <w:rPr>
            <w:rFonts w:ascii="Calibri" w:cs="Calibri" w:eastAsia="Calibri" w:hAnsi="Calibri"/>
            <w:color w:val="315B75"/>
            <w:sz w:val="17"/>
            <w:szCs w:val="17"/>
            <w:u w:val="single"/>
          </w:rPr>
          <w:t xml:space="preserve">https://web.archive.org/web/20211027155141/https://www.dole.gov.ph/php_assets/uploads/2017/07/Dept-Order-No_-147-15.pdf</w:t>
        </w:r>
      </w:hyperlink>
    </w:p>
    <w:p>
      <w:pPr>
        <w:keepNext/>
        <w:spacing w:after="60" w:before="100"/>
      </w:pPr>
      <w:r>
        <w:rPr>
          <w:rFonts w:ascii="Calibri" w:cs="Calibri" w:eastAsia="Calibri" w:hAnsi="Calibri"/>
          <w:b/>
          <w:bCs/>
          <w:sz w:val="18"/>
          <w:szCs w:val="18"/>
        </w:rPr>
        <w:t xml:space="preserve">Handbook on Workers' Statutory Monetary Benefits, 2024 Edition - Separation pay computed on the latest salary rate including regular allowances; notice of termination through RKS Form 5 or the DOLE Establishment Report System; minimum retirement pay of 22.5 days per year of service (15 days' salary, 5 days' SIL, and 1/12 of the 13th-month pay) (checked 2026-10-01)</w:t>
      </w:r>
    </w:p>
    <w:p>
      <w:pPr>
        <w:spacing w:after="120"/>
      </w:pPr>
      <w:hyperlink w:history="1" r:id="rId9woxyeagq-v__p-2dyny-">
        <w:r>
          <w:rPr>
            <w:rFonts w:ascii="Calibri" w:cs="Calibri" w:eastAsia="Calibri" w:hAnsi="Calibri"/>
            <w:color w:val="315B75"/>
            <w:sz w:val="17"/>
            <w:szCs w:val="17"/>
            <w:u w:val="single"/>
          </w:rPr>
          <w:t xml:space="preserve">https://nwpc.dole.gov.ph/wp-content/uploads/2024/11/Workers-Statutory-Monetary-Benefits-Handbook-2024-Edition.pdf</w:t>
        </w:r>
      </w:hyperlink>
    </w:p>
    <w:p>
      <w:pPr>
        <w:keepNext/>
        <w:spacing w:after="60" w:before="100"/>
      </w:pPr>
      <w:r>
        <w:rPr>
          <w:rFonts w:ascii="Calibri" w:cs="Calibri" w:eastAsia="Calibri" w:hAnsi="Calibri"/>
          <w:b/>
          <w:bCs/>
          <w:sz w:val="18"/>
          <w:szCs w:val="18"/>
        </w:rPr>
        <w:t xml:space="preserve">Labor Advisory No. 06, Series of 2020 — Final Pay and Certificate of Employment - Final-pay components (including any income tax refund and cash bonds or deposits due for return); final pay within 30 days from separation and Certificate of Employment within three days of request, unless a more favorable policy or agreement applies; disputes go to the DOLE office for conciliation (checked 2026-10-01)</w:t>
      </w:r>
    </w:p>
    <w:p>
      <w:pPr>
        <w:spacing w:after="120"/>
      </w:pPr>
      <w:hyperlink w:history="1" r:id="rId0hrxjmpveymvhtirr9oae">
        <w:r>
          <w:rPr>
            <w:rFonts w:ascii="Calibri" w:cs="Calibri" w:eastAsia="Calibri" w:hAnsi="Calibri"/>
            <w:color w:val="315B75"/>
            <w:sz w:val="17"/>
            <w:szCs w:val="17"/>
            <w:u w:val="single"/>
          </w:rPr>
          <w:t xml:space="preserve">https://web.archive.org/web/20210926103531/https://www.dole.gov.ph/php_assets/uploads/2020/02/Labor-Advisory-No.-06-20-Guidelines-on-the-Payment-of-Final-Pay-and-Issuance-of-Certificate-of-Emplo.pdf</w:t>
        </w:r>
      </w:hyperlink>
    </w:p>
    <w:p>
      <w:pPr>
        <w:keepNext/>
        <w:spacing w:after="60" w:before="100"/>
      </w:pPr>
      <w:r>
        <w:rPr>
          <w:rFonts w:ascii="Calibri" w:cs="Calibri" w:eastAsia="Calibri" w:hAnsi="Calibri"/>
          <w:b/>
          <w:bCs/>
          <w:sz w:val="18"/>
          <w:szCs w:val="18"/>
        </w:rPr>
        <w:t xml:space="preserve">Goodrich Manufacturing Corporation v. Ativo, G.R. No. 188002 (February 1, 2010) - Quitclaims are upheld when executed voluntarily, free of fraud or deceit, for credible and reasonable consideration, and not contrary to law (the Court upheld the quitclaims in that case); this Acknowledgment is deliberately not a quitclaim (checked 2026-10-01)</w:t>
      </w:r>
    </w:p>
    <w:p>
      <w:pPr>
        <w:spacing w:after="120"/>
      </w:pPr>
      <w:hyperlink w:history="1" r:id="rIdihbawheizfspiosd1pdkt">
        <w:r>
          <w:rPr>
            <w:rFonts w:ascii="Calibri" w:cs="Calibri" w:eastAsia="Calibri" w:hAnsi="Calibri"/>
            <w:color w:val="315B75"/>
            <w:sz w:val="17"/>
            <w:szCs w:val="17"/>
            <w:u w:val="single"/>
          </w:rPr>
          <w:t xml:space="preserve">https://lawphil.net/judjuris/juri2010/feb2010/gr_188002_2010.html</w:t>
        </w:r>
      </w:hyperlink>
    </w:p>
    <w:p>
      <w:pPr>
        <w:keepNext/>
        <w:spacing w:after="60" w:before="100"/>
      </w:pPr>
      <w:r>
        <w:rPr>
          <w:rFonts w:ascii="Calibri" w:cs="Calibri" w:eastAsia="Calibri" w:hAnsi="Calibri"/>
          <w:b/>
          <w:bCs/>
          <w:sz w:val="18"/>
          <w:szCs w:val="18"/>
        </w:rPr>
        <w:t xml:space="preserve">Milan v. National Labor Relations Commission, G.R. No. 202961 (February 4, 2015) - Requiring clearance before the release of last pay is a standard procedure; it does not authorize deductions the law does not allow (checked 2026-10-01)</w:t>
      </w:r>
    </w:p>
    <w:p>
      <w:pPr>
        <w:spacing w:after="120"/>
      </w:pPr>
      <w:hyperlink w:history="1" r:id="rIdscewvys-jsjwi1cqlrlut">
        <w:r>
          <w:rPr>
            <w:rFonts w:ascii="Calibri" w:cs="Calibri" w:eastAsia="Calibri" w:hAnsi="Calibri"/>
            <w:color w:val="315B75"/>
            <w:sz w:val="17"/>
            <w:szCs w:val="17"/>
            <w:u w:val="single"/>
          </w:rPr>
          <w:t xml:space="preserve">https://lawphil.net/judjuris/juri2015/feb2015/gr_202961_2015.html</w:t>
        </w:r>
      </w:hyperlink>
    </w:p>
    <w:p>
      <w:pPr>
        <w:keepNext/>
        <w:spacing w:after="60" w:before="100"/>
      </w:pPr>
      <w:r>
        <w:rPr>
          <w:rFonts w:ascii="Calibri" w:cs="Calibri" w:eastAsia="Calibri" w:hAnsi="Calibri"/>
          <w:b/>
          <w:bCs/>
          <w:sz w:val="18"/>
          <w:szCs w:val="18"/>
        </w:rPr>
        <w:t xml:space="preserve">2004 Rules on Notarial Practice (A.M. No. 02-8-13-SC) - Rule II, Sec. 1(c): in an acknowledgment, a signer acting in a representative capacity represents that he or she has the authority to sign in that capacity (checked 2026-10-01)</w:t>
      </w:r>
    </w:p>
    <w:p>
      <w:pPr>
        <w:spacing w:after="120"/>
      </w:pPr>
      <w:hyperlink w:history="1" r:id="rIdg69nsj-zwcg6doqdltydc">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Civil Code of the Philippines (Republic Act No. 386) - Art. 6 (waiver of rights contrary to law or public policy is ineffective) and Art. 1306 (limits on contract terms) (checked 2026-10-01)</w:t>
      </w:r>
    </w:p>
    <w:p>
      <w:pPr>
        <w:spacing w:after="120"/>
      </w:pPr>
      <w:hyperlink w:history="1" r:id="rIddkd3df4pplzh3mlgk0hct">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National Internal Revenue Code of 1997 (Republic Act No. 8424), as amended - Sec. 83(A): on termination, BIR Form 2316 is furnished on the same day the last payment of wages is made; tax treatment of separation pay (checked 2026-10-01)</w:t>
      </w:r>
    </w:p>
    <w:p>
      <w:pPr>
        <w:spacing w:after="120"/>
      </w:pPr>
      <w:hyperlink w:history="1" r:id="rIdholztwtftgno6rraeylqs">
        <w:r>
          <w:rPr>
            <w:rFonts w:ascii="Calibri" w:cs="Calibri" w:eastAsia="Calibri" w:hAnsi="Calibri"/>
            <w:color w:val="315B75"/>
            <w:sz w:val="17"/>
            <w:szCs w:val="17"/>
            <w:u w:val="single"/>
          </w:rPr>
          <w:t xml:space="preserve">https://lawphil.net/statutes/repacts/ra1997/ra_8424_1997.html</w:t>
        </w:r>
      </w:hyperlink>
    </w:p>
    <w:p>
      <w:pPr>
        <w:keepNext/>
        <w:spacing w:after="60" w:before="100"/>
      </w:pPr>
      <w:r>
        <w:rPr>
          <w:rFonts w:ascii="Calibri" w:cs="Calibri" w:eastAsia="Calibri" w:hAnsi="Calibri"/>
          <w:b/>
          <w:bCs/>
          <w:sz w:val="18"/>
          <w:szCs w:val="18"/>
        </w:rPr>
        <w:t xml:space="preserve">Republic Act No. 10396 (Strengthening Conciliation-Mediation of Labor Disputes) - Mandatory conciliation-mediation of labor disputes before adjudication (checked 2026-10-01)</w:t>
      </w:r>
    </w:p>
    <w:p>
      <w:pPr>
        <w:spacing w:after="120"/>
      </w:pPr>
      <w:hyperlink w:history="1" r:id="rIdb9d_evabvaw0myouopqa1">
        <w:r>
          <w:rPr>
            <w:rFonts w:ascii="Calibri" w:cs="Calibri" w:eastAsia="Calibri" w:hAnsi="Calibri"/>
            <w:color w:val="315B75"/>
            <w:sz w:val="17"/>
            <w:szCs w:val="17"/>
            <w:u w:val="single"/>
          </w:rPr>
          <w:t xml:space="preserve">https://lawphil.net/statutes/repacts/ra2013/ra_10396_2013.html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xw7kttvo0xxoe1pp2jcb" Type="http://schemas.openxmlformats.org/officeDocument/2006/relationships/hyperlink" Target="https://web.archive.org/web/20220402205705/https://bwc.dole.gov.ph/images/Downloads/2022_02_02_LaborCode_ofthe_Philippines_2022DOLE_edition.pdf" TargetMode="External"/><Relationship Id="rIdk5xxysfjhpx8kivakbani" Type="http://schemas.openxmlformats.org/officeDocument/2006/relationships/hyperlink" Target="https://web.archive.org/web/20211027155141/https://www.dole.gov.ph/php_assets/uploads/2017/07/Dept-Order-No_-147-15.pdf" TargetMode="External"/><Relationship Id="rId9woxyeagq-v__p-2dyny-" Type="http://schemas.openxmlformats.org/officeDocument/2006/relationships/hyperlink" Target="https://nwpc.dole.gov.ph/wp-content/uploads/2024/11/Workers-Statutory-Monetary-Benefits-Handbook-2024-Edition.pdf" TargetMode="External"/><Relationship Id="rId0hrxjmpveymvhtirr9oae" Type="http://schemas.openxmlformats.org/officeDocument/2006/relationships/hyperlink" Target="https://web.archive.org/web/20210926103531/https://www.dole.gov.ph/php_assets/uploads/2020/02/Labor-Advisory-No.-06-20-Guidelines-on-the-Payment-of-Final-Pay-and-Issuance-of-Certificate-of-Emplo.pdf" TargetMode="External"/><Relationship Id="rIdihbawheizfspiosd1pdkt" Type="http://schemas.openxmlformats.org/officeDocument/2006/relationships/hyperlink" Target="https://lawphil.net/judjuris/juri2010/feb2010/gr_188002_2010.html" TargetMode="External"/><Relationship Id="rIdscewvys-jsjwi1cqlrlut" Type="http://schemas.openxmlformats.org/officeDocument/2006/relationships/hyperlink" Target="https://lawphil.net/judjuris/juri2015/feb2015/gr_202961_2015.html" TargetMode="External"/><Relationship Id="rIdg69nsj-zwcg6doqdltydc" Type="http://schemas.openxmlformats.org/officeDocument/2006/relationships/hyperlink" Target="https://sc.judiciary.gov.ph/wp-content/uploads/2022/08/02-08-13-SC-1.pdf" TargetMode="External"/><Relationship Id="rIddkd3df4pplzh3mlgk0hct" Type="http://schemas.openxmlformats.org/officeDocument/2006/relationships/hyperlink" Target="https://lawphil.net/statutes/repacts/ra1949/ra_386_1949.html" TargetMode="External"/><Relationship Id="rIdholztwtftgno6rraeylqs" Type="http://schemas.openxmlformats.org/officeDocument/2006/relationships/hyperlink" Target="https://lawphil.net/statutes/repacts/ra1997/ra_8424_1997.html" TargetMode="External"/><Relationship Id="rIdb9d_evabvaw0myouopqa1" Type="http://schemas.openxmlformats.org/officeDocument/2006/relationships/hyperlink" Target="https://lawphil.net/statutes/repacts/ra2013/ra_10396_2013.html"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SEPARATION AND FINAL-PAY ACKNOWLEDGMENT</dc:title>
  <dc:creator>LAW.PH</dc:creator>
  <dc:description>Free sample of the Employment Separation and Final-Pay Acknowledgment from LAW.PH, with fictional details</dc:description>
  <cp:lastModifiedBy>Un-named</cp:lastModifiedBy>
  <cp:revision>1</cp:revision>
  <dcterms:created xsi:type="dcterms:W3CDTF">2026-10-02T05:29:56.987Z</dcterms:created>
  <dcterms:modified xsi:type="dcterms:W3CDTF">2026-10-02T05:29:56.987Z</dcterms:modified>
</cp:coreProperties>
</file>

<file path=docProps/custom.xml><?xml version="1.0" encoding="utf-8"?>
<Properties xmlns="http://schemas.openxmlformats.org/officeDocument/2006/custom-properties" xmlns:vt="http://schemas.openxmlformats.org/officeDocument/2006/docPropsVTypes"/>
</file>