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GENERAL POWER OF ATTORNEY</w:t>
      </w:r>
    </w:p>
    <w:p>
      <w:pPr>
        <w:spacing w:after="160"/>
        <w:jc w:val="center"/>
      </w:pPr>
      <w:r>
        <w:rPr>
          <w:rFonts w:ascii="Calibri" w:cs="Calibri" w:eastAsia="Calibri" w:hAnsi="Calibri"/>
          <w:color w:val="566674"/>
          <w:sz w:val="18"/>
          <w:szCs w:val="18"/>
        </w:rPr>
        <w:t xml:space="preserve">Republic of the Philippines — Acts of administration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KNOW ALL PERSONS BY THESE PRESENTS:</w:t>
      </w:r>
    </w:p>
    <w:p>
      <w:pPr>
        <w:keepLines/>
        <w:spacing w:after="120" w:line="264"/>
        <w:jc w:val="both"/>
      </w:pPr>
      <w:r>
        <w:rPr>
          <w:rFonts w:ascii="Calibri" w:cs="Calibri" w:eastAsia="Calibri" w:hAnsi="Calibri"/>
          <w:sz w:val="22"/>
          <w:szCs w:val="22"/>
        </w:rPr>
        <w:t xml:space="preserve">I, Lourdes A. Fernandez, of legal age, widowed, and residing at 88 Acacia Avenue, Ayala Alabang, Muntinlupa City 1780 (the "Principal"), name, constitute, and appoint Marco A. Fernandez, of legal age, residing at 15 Dahlia Street, Ayala Alabang, Muntinlupa City 1780, my adult son (the "Agent"), as my attorney-in-fact to act for me in the matters and within the limits stated below.</w:t>
      </w:r>
    </w:p>
    <w:p>
      <w:pPr>
        <w:pStyle w:val="Heading2"/>
        <w:keepNext/>
        <w:spacing w:after="120" w:before="240"/>
      </w:pPr>
      <w:r>
        <w:rPr>
          <w:rFonts w:ascii="Calibri" w:cs="Calibri" w:eastAsia="Calibri" w:hAnsi="Calibri"/>
          <w:b/>
          <w:bCs/>
          <w:color w:val="102B3F"/>
          <w:sz w:val="26"/>
          <w:szCs w:val="26"/>
        </w:rPr>
        <w:t xml:space="preserve">1. Term</w:t>
      </w:r>
    </w:p>
    <w:p>
      <w:pPr>
        <w:keepLines/>
        <w:spacing w:after="120" w:line="264"/>
        <w:jc w:val="both"/>
      </w:pPr>
      <w:r>
        <w:rPr>
          <w:rFonts w:ascii="Calibri" w:cs="Calibri" w:eastAsia="Calibri" w:hAnsi="Calibri"/>
          <w:sz w:val="22"/>
          <w:szCs w:val="22"/>
        </w:rPr>
        <w:t xml:space="preserve">This Power of Attorney takes effect on September 10, 2026 and ends on September 10, 2027, unless I revoke it sooner or it ends earlier by law.</w:t>
      </w:r>
    </w:p>
    <w:p>
      <w:pPr>
        <w:pStyle w:val="Heading2"/>
        <w:keepNext/>
        <w:spacing w:after="120" w:before="240"/>
      </w:pPr>
      <w:r>
        <w:rPr>
          <w:rFonts w:ascii="Calibri" w:cs="Calibri" w:eastAsia="Calibri" w:hAnsi="Calibri"/>
          <w:b/>
          <w:bCs/>
          <w:color w:val="102B3F"/>
          <w:sz w:val="26"/>
          <w:szCs w:val="26"/>
        </w:rPr>
        <w:t xml:space="preserve">2. Powers of administration</w:t>
      </w:r>
    </w:p>
    <w:p>
      <w:pPr>
        <w:keepLines/>
        <w:spacing w:after="120" w:line="264"/>
        <w:jc w:val="both"/>
      </w:pPr>
      <w:r>
        <w:rPr>
          <w:rFonts w:ascii="Calibri" w:cs="Calibri" w:eastAsia="Calibri" w:hAnsi="Calibri"/>
          <w:sz w:val="22"/>
          <w:szCs w:val="22"/>
        </w:rPr>
        <w:t xml:space="preserve">This is a general agency. Under Article 1877 of the Civil Code it covers only acts of administration. The Agent may:</w:t>
      </w:r>
    </w:p>
    <w:p>
      <w:pPr>
        <w:keepLines/>
        <w:spacing w:after="120" w:line="264"/>
        <w:jc w:val="both"/>
      </w:pPr>
      <w:r>
        <w:rPr>
          <w:rFonts w:ascii="Calibri" w:cs="Calibri" w:eastAsia="Calibri" w:hAnsi="Calibri"/>
          <w:sz w:val="22"/>
          <w:szCs w:val="22"/>
        </w:rPr>
        <w:t xml:space="preserve">(a) to receive mail, notices, and documents addressed to the Principal, and to sign for their receipt;</w:t>
      </w:r>
    </w:p>
    <w:p>
      <w:pPr>
        <w:keepLines/>
        <w:spacing w:after="120" w:line="264"/>
        <w:jc w:val="both"/>
      </w:pPr>
      <w:r>
        <w:rPr>
          <w:rFonts w:ascii="Calibri" w:cs="Calibri" w:eastAsia="Calibri" w:hAnsi="Calibri"/>
          <w:sz w:val="22"/>
          <w:szCs w:val="22"/>
        </w:rPr>
        <w:t xml:space="preserve">(b) to pay ordinary bills, association dues, utilities, and routine taxes and fees due from the Principal;</w:t>
      </w:r>
    </w:p>
    <w:p>
      <w:pPr>
        <w:keepLines/>
        <w:spacing w:after="120" w:line="264"/>
        <w:jc w:val="both"/>
      </w:pPr>
      <w:r>
        <w:rPr>
          <w:rFonts w:ascii="Calibri" w:cs="Calibri" w:eastAsia="Calibri" w:hAnsi="Calibri"/>
          <w:sz w:val="22"/>
          <w:szCs w:val="22"/>
        </w:rPr>
        <w:t xml:space="preserve">(c) to demand, collect, and give receipts for rent, dues, and other ordinary income owed to the Principal;</w:t>
      </w:r>
    </w:p>
    <w:p>
      <w:pPr>
        <w:keepLines/>
        <w:spacing w:after="120" w:line="264"/>
        <w:jc w:val="both"/>
      </w:pPr>
      <w:r>
        <w:rPr>
          <w:rFonts w:ascii="Calibri" w:cs="Calibri" w:eastAsia="Calibri" w:hAnsi="Calibri"/>
          <w:sz w:val="22"/>
          <w:szCs w:val="22"/>
        </w:rPr>
        <w:t xml:space="preserve">(d) to manage, maintain, insure, and repair the Principal's property described as The residential house and lot at 88 Acacia Avenue and two rental apartment units in Muntinlupa City, without selling, mortgaging, or leasing it for more than one year;</w:t>
      </w:r>
    </w:p>
    <w:p>
      <w:pPr>
        <w:keepLines/>
        <w:spacing w:after="120" w:line="264"/>
        <w:jc w:val="both"/>
      </w:pPr>
      <w:r>
        <w:rPr>
          <w:rFonts w:ascii="Calibri" w:cs="Calibri" w:eastAsia="Calibri" w:hAnsi="Calibri"/>
          <w:sz w:val="22"/>
          <w:szCs w:val="22"/>
        </w:rPr>
        <w:t xml:space="preserve">(e) to deposit, withdraw, and transact on the Principal's accounts with BDO Unibank and Metrobank, within the limits in Section 4;</w:t>
      </w:r>
    </w:p>
    <w:p>
      <w:pPr>
        <w:keepLines/>
        <w:spacing w:after="120" w:line="264"/>
        <w:jc w:val="both"/>
      </w:pPr>
      <w:r>
        <w:rPr>
          <w:rFonts w:ascii="Calibri" w:cs="Calibri" w:eastAsia="Calibri" w:hAnsi="Calibri"/>
          <w:sz w:val="22"/>
          <w:szCs w:val="22"/>
        </w:rPr>
        <w:t xml:space="preserve">(f) to transact with BIR, SSS, PhilHealth, and the Muntinlupa City Hall for routine filings, requests, and payments, and to receive the resulting documents;</w:t>
      </w:r>
    </w:p>
    <w:p>
      <w:pPr>
        <w:keepLines/>
        <w:spacing w:after="120" w:line="264"/>
        <w:jc w:val="both"/>
      </w:pPr>
      <w:r>
        <w:rPr>
          <w:rFonts w:ascii="Calibri" w:cs="Calibri" w:eastAsia="Calibri" w:hAnsi="Calibri"/>
          <w:sz w:val="22"/>
          <w:szCs w:val="22"/>
        </w:rPr>
        <w:t xml:space="preserve">If the Agent cannot or will not act, Beatriz A. Fernandez may act as successor Agent within the same powers and limits.</w:t>
      </w:r>
    </w:p>
    <w:p>
      <w:pPr>
        <w:pStyle w:val="Heading2"/>
        <w:keepNext/>
        <w:spacing w:after="120" w:before="240"/>
      </w:pPr>
      <w:r>
        <w:rPr>
          <w:rFonts w:ascii="Calibri" w:cs="Calibri" w:eastAsia="Calibri" w:hAnsi="Calibri"/>
          <w:b/>
          <w:bCs/>
          <w:color w:val="102B3F"/>
          <w:sz w:val="26"/>
          <w:szCs w:val="26"/>
        </w:rPr>
        <w:t xml:space="preserve">3. Acts that need a special power</w:t>
      </w:r>
    </w:p>
    <w:p>
      <w:pPr>
        <w:keepLines/>
        <w:spacing w:after="120" w:line="264"/>
        <w:jc w:val="both"/>
      </w:pPr>
      <w:r>
        <w:rPr>
          <w:rFonts w:ascii="Calibri" w:cs="Calibri" w:eastAsia="Calibri" w:hAnsi="Calibri"/>
          <w:sz w:val="22"/>
          <w:szCs w:val="22"/>
        </w:rPr>
        <w:t xml:space="preserve">This Power of Attorney does not authorize the Agent to: sell, mortgage, or otherwise convey or encumber land or any interest in it, or lease land for more than one year; borrow or lend money; make gifts; act as guarantor or surety for anyone; compromise, submit to arbitration, waive rights or prescription, or settle a case; bind me to a partnership; accept or repudiate an inheritance; ratify obligations made before this appointment; waive an obligation without payment; bind me to render service without compensation; or do any other act of strict dominion. Each of these needs a separate special power of attorney that I sign for that act (Article 1878). A sale of land through an agent is void unless the agent's authority is in writing (Article 1874).</w:t>
      </w:r>
    </w:p>
    <w:p>
      <w:pPr>
        <w:pStyle w:val="Heading2"/>
        <w:keepNext/>
        <w:spacing w:after="120" w:before="240"/>
      </w:pPr>
      <w:r>
        <w:rPr>
          <w:rFonts w:ascii="Calibri" w:cs="Calibri" w:eastAsia="Calibri" w:hAnsi="Calibri"/>
          <w:b/>
          <w:bCs/>
          <w:color w:val="102B3F"/>
          <w:sz w:val="26"/>
          <w:szCs w:val="26"/>
        </w:rPr>
        <w:t xml:space="preserve">4. Limits</w:t>
      </w:r>
    </w:p>
    <w:p>
      <w:pPr>
        <w:keepLines/>
        <w:spacing w:after="120" w:line="264"/>
        <w:jc w:val="both"/>
      </w:pPr>
      <w:r>
        <w:rPr>
          <w:rFonts w:ascii="Calibri" w:cs="Calibri" w:eastAsia="Calibri" w:hAnsi="Calibri"/>
          <w:sz w:val="22"/>
          <w:szCs w:val="22"/>
        </w:rPr>
        <w:t xml:space="preserve">The Agent shall not pay or commit more than Fifty Thousand Pesos (PHP 50,000.00) in any single transaction, or more than Six Hundred Thousand Pesos (PHP 600,000.00) in total in any calendar year, without my written approval.</w:t>
      </w:r>
    </w:p>
    <w:p>
      <w:pPr>
        <w:keepLines/>
        <w:spacing w:after="120" w:line="264"/>
        <w:jc w:val="both"/>
      </w:pPr>
      <w:r>
        <w:rPr>
          <w:rFonts w:ascii="Calibri" w:cs="Calibri" w:eastAsia="Calibri" w:hAnsi="Calibri"/>
          <w:sz w:val="22"/>
          <w:szCs w:val="22"/>
        </w:rPr>
        <w:t xml:space="preserve">The Agent shall act only within these powers and limits, for my benefit, and shall not use them for the Agent's own benefit or in a conflict of interest without my written consent.</w:t>
      </w:r>
    </w:p>
    <w:p>
      <w:pPr>
        <w:pStyle w:val="Heading2"/>
        <w:keepNext/>
        <w:spacing w:after="120" w:before="240"/>
      </w:pPr>
      <w:r>
        <w:rPr>
          <w:rFonts w:ascii="Calibri" w:cs="Calibri" w:eastAsia="Calibri" w:hAnsi="Calibri"/>
          <w:b/>
          <w:bCs/>
          <w:color w:val="102B3F"/>
          <w:sz w:val="26"/>
          <w:szCs w:val="26"/>
        </w:rPr>
        <w:t xml:space="preserve">5. The Agent's duties, accounting, and pay</w:t>
      </w:r>
    </w:p>
    <w:p>
      <w:pPr>
        <w:keepLines/>
        <w:spacing w:after="120" w:line="264"/>
        <w:jc w:val="both"/>
      </w:pPr>
      <w:r>
        <w:rPr>
          <w:rFonts w:ascii="Calibri" w:cs="Calibri" w:eastAsia="Calibri" w:hAnsi="Calibri"/>
          <w:sz w:val="22"/>
          <w:szCs w:val="22"/>
        </w:rPr>
        <w:t xml:space="preserve">The Agent shall carry out this agency with the care of a good father of a family, keep records of every transaction, and give me an account of everything done and received. The Agent is responsible for fraud and for negligence (Articles 1884, 1891, and 1909).</w:t>
      </w:r>
    </w:p>
    <w:p>
      <w:pPr>
        <w:keepLines/>
        <w:spacing w:after="120" w:line="264"/>
        <w:jc w:val="both"/>
      </w:pPr>
      <w:r>
        <w:rPr>
          <w:rFonts w:ascii="Calibri" w:cs="Calibri" w:eastAsia="Calibri" w:hAnsi="Calibri"/>
          <w:sz w:val="22"/>
          <w:szCs w:val="22"/>
        </w:rPr>
        <w:t xml:space="preserve">The Agent shall report quarterly, with supporting receipts.</w:t>
      </w:r>
    </w:p>
    <w:p>
      <w:pPr>
        <w:keepLines/>
        <w:spacing w:after="120" w:line="264"/>
        <w:jc w:val="both"/>
      </w:pPr>
      <w:r>
        <w:rPr>
          <w:rFonts w:ascii="Calibri" w:cs="Calibri" w:eastAsia="Calibri" w:hAnsi="Calibri"/>
          <w:sz w:val="22"/>
          <w:szCs w:val="22"/>
        </w:rPr>
        <w:t xml:space="preserve">The Agent receives no fee, and I shall reimburse the Agent's documented and reasonable expenses.</w:t>
      </w:r>
    </w:p>
    <w:p>
      <w:pPr>
        <w:keepLines/>
        <w:spacing w:after="120" w:line="264"/>
        <w:jc w:val="both"/>
      </w:pPr>
      <w:r>
        <w:rPr>
          <w:rFonts w:ascii="Calibri" w:cs="Calibri" w:eastAsia="Calibri" w:hAnsi="Calibri"/>
          <w:sz w:val="22"/>
          <w:szCs w:val="22"/>
        </w:rPr>
        <w:t xml:space="preserve">The Agent may appoint a substitute only with my written consent.</w:t>
      </w:r>
    </w:p>
    <w:p>
      <w:pPr>
        <w:pStyle w:val="Heading2"/>
        <w:keepNext/>
        <w:spacing w:after="120" w:before="240"/>
      </w:pPr>
      <w:r>
        <w:rPr>
          <w:rFonts w:ascii="Calibri" w:cs="Calibri" w:eastAsia="Calibri" w:hAnsi="Calibri"/>
          <w:b/>
          <w:bCs/>
          <w:color w:val="102B3F"/>
          <w:sz w:val="26"/>
          <w:szCs w:val="26"/>
        </w:rPr>
        <w:t xml:space="preserve">6. Reliance by others</w:t>
      </w:r>
    </w:p>
    <w:p>
      <w:pPr>
        <w:keepLines/>
        <w:spacing w:after="120" w:line="264"/>
        <w:jc w:val="both"/>
      </w:pPr>
      <w:r>
        <w:rPr>
          <w:rFonts w:ascii="Calibri" w:cs="Calibri" w:eastAsia="Calibri" w:hAnsi="Calibri"/>
          <w:sz w:val="22"/>
          <w:szCs w:val="22"/>
        </w:rPr>
        <w:t xml:space="preserve">Any person who deals with the Agent within these powers, in good faith and without notice that this Power of Attorney has been revoked or has ended, may rely on it, and I shall be bound by what the Agent does within it. I consent to reliance on a copy certified by the notary who notarized it, from the notarial records, subject to each recipient's own rules.</w:t>
      </w:r>
    </w:p>
    <w:p>
      <w:pPr>
        <w:pStyle w:val="Heading2"/>
        <w:keepNext/>
        <w:spacing w:after="120" w:before="240"/>
      </w:pPr>
      <w:r>
        <w:rPr>
          <w:rFonts w:ascii="Calibri" w:cs="Calibri" w:eastAsia="Calibri" w:hAnsi="Calibri"/>
          <w:b/>
          <w:bCs/>
          <w:color w:val="102B3F"/>
          <w:sz w:val="26"/>
          <w:szCs w:val="26"/>
        </w:rPr>
        <w:t xml:space="preserve">7. Revocation and end</w:t>
      </w:r>
    </w:p>
    <w:p>
      <w:pPr>
        <w:keepLines/>
        <w:spacing w:after="120" w:line="264"/>
        <w:jc w:val="both"/>
      </w:pPr>
      <w:r>
        <w:rPr>
          <w:rFonts w:ascii="Calibri" w:cs="Calibri" w:eastAsia="Calibri" w:hAnsi="Calibri"/>
          <w:sz w:val="22"/>
          <w:szCs w:val="22"/>
        </w:rPr>
        <w:t xml:space="preserve">I may revoke this Power of Attorney at any time (Article 1920). It also ends on the death, civil interdiction, insanity, or insolvency of the Principal or the Agent (Article 1919), and it does not continue after I lose capacity.</w:t>
      </w:r>
    </w:p>
    <w:p>
      <w:pPr>
        <w:keepLines/>
        <w:spacing w:after="120" w:line="264"/>
        <w:jc w:val="both"/>
      </w:pPr>
      <w:r>
        <w:rPr>
          <w:rFonts w:ascii="Calibri" w:cs="Calibri" w:eastAsia="Calibri" w:hAnsi="Calibri"/>
          <w:sz w:val="22"/>
          <w:szCs w:val="22"/>
        </w:rPr>
        <w:t xml:space="preserve">If I revoke it, I shall notify the Agent and the institutions that hold a copy. Where the Agent had general powers, revocation does not prejudice third persons who acted in good faith and without knowledge of it, and notice in a newspaper of general circulation is a sufficient warning (Article 1922).</w:t>
      </w:r>
    </w:p>
    <w:p>
      <w:pPr>
        <w:keepLines/>
        <w:spacing w:after="120" w:line="264"/>
        <w:jc w:val="both"/>
      </w:pPr>
      <w:r>
        <w:rPr>
          <w:rFonts w:ascii="Calibri" w:cs="Calibri" w:eastAsia="Calibri" w:hAnsi="Calibri"/>
          <w:sz w:val="22"/>
          <w:szCs w:val="22"/>
        </w:rPr>
        <w:t xml:space="preserve">Philippine law governs this Power of Attorney.</w:t>
      </w:r>
    </w:p>
    <w:p>
      <w:pPr>
        <w:keepNext/>
        <w:spacing w:after="260" w:before="360"/>
      </w:pPr>
      <w:r>
        <w:rPr>
          <w:rFonts w:ascii="Calibri" w:cs="Calibri" w:eastAsia="Calibri" w:hAnsi="Calibri"/>
          <w:b/>
          <w:bCs/>
          <w:sz w:val="22"/>
          <w:szCs w:val="22"/>
        </w:rPr>
        <w:t xml:space="preserve">IN WITNESS WHEREOF, I have signed this General Power of Attorney on September 10, 2026 at Muntinlupa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PRINCIPAL</w:t>
            </w:r>
          </w:p>
          <w:p>
            <w:pPr>
              <w:spacing w:after="120"/>
            </w:pPr>
            <w:r>
              <w:rPr>
                <w:rFonts w:ascii="Calibri" w:cs="Calibri" w:eastAsia="Calibri" w:hAnsi="Calibri"/>
                <w:sz w:val="22"/>
                <w:szCs w:val="22"/>
              </w:rPr>
              <w:t xml:space="preserve">Lourdes A. Fernandez
Signature over printed name: ______________________________</w:t>
            </w:r>
          </w:p>
          <w:p>
            <w:pPr>
              <w:spacing w:after="120"/>
            </w:pPr>
            <w:r>
              <w:rPr>
                <w:rFonts w:ascii="Calibri" w:cs="Calibri" w:eastAsia="Calibri" w:hAnsi="Calibri"/>
                <w:sz w:val="22"/>
                <w:szCs w:val="22"/>
              </w:rPr>
              <w:t xml:space="preserve">Principal</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AGENT — ACCEPTANCE</w:t>
            </w:r>
          </w:p>
          <w:p>
            <w:pPr>
              <w:spacing w:after="120"/>
            </w:pPr>
            <w:r>
              <w:rPr>
                <w:rFonts w:ascii="Calibri" w:cs="Calibri" w:eastAsia="Calibri" w:hAnsi="Calibri"/>
                <w:sz w:val="22"/>
                <w:szCs w:val="22"/>
              </w:rPr>
              <w:t xml:space="preserve">Marco A. Fernandez
Signature over printed name: ______________________________</w:t>
            </w:r>
          </w:p>
          <w:p>
            <w:pPr>
              <w:spacing w:after="120"/>
            </w:pPr>
            <w:r>
              <w:rPr>
                <w:rFonts w:ascii="Calibri" w:cs="Calibri" w:eastAsia="Calibri" w:hAnsi="Calibri"/>
                <w:sz w:val="22"/>
                <w:szCs w:val="22"/>
              </w:rPr>
              <w:t xml:space="preserve">Agent, accepting the appointment and its limits</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Muntinlupa City, Philippines, on __________________, personally appeared Lourdes A. Fernandez, the Principal, identified through competent evidence of identity, ID No(s). __________________ / issued at and on __________________ / valid until __________________, known to me and to me known to be the same person(s) who executed this General Power of Attorney and acknowledged that it is their free and voluntary act and deed.</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Ask each bank, government office, and company that will receive this document for its own form and wording. Many insist on their own power of attorney or a special power for a particular transaction.</w:t>
      </w:r>
    </w:p>
    <w:p>
      <w:pPr>
        <w:pStyle w:val="ListParagraph"/>
        <w:keepNext/>
        <w:numPr>
          <w:ilvl w:val="0"/>
          <w:numId w:val="1"/>
        </w:numPr>
        <w:spacing w:after="120" w:line="264"/>
      </w:pPr>
      <w:r>
        <w:rPr>
          <w:rFonts w:ascii="Calibri" w:cs="Calibri" w:eastAsia="Calibri" w:hAnsi="Calibri"/>
          <w:sz w:val="22"/>
          <w:szCs w:val="22"/>
        </w:rPr>
        <w:t xml:space="preserve">Do not use this document to sell, mortgage, or lease land for more than a year, to borrow, to give gifts, or to guarantee a debt. Use a special power of attorney for each such act. A sale of land through an agent is void without written authority.</w:t>
      </w:r>
    </w:p>
    <w:p>
      <w:pPr>
        <w:pStyle w:val="ListParagraph"/>
        <w:keepNext/>
        <w:numPr>
          <w:ilvl w:val="0"/>
          <w:numId w:val="1"/>
        </w:numPr>
        <w:spacing w:after="120" w:line="264"/>
      </w:pPr>
      <w:r>
        <w:rPr>
          <w:rFonts w:ascii="Calibri" w:cs="Calibri" w:eastAsia="Calibri" w:hAnsi="Calibri"/>
          <w:sz w:val="22"/>
          <w:szCs w:val="22"/>
        </w:rPr>
        <w:t xml:space="preserve">The Principal stays responsible for the Agent's authorized acts. Choose someone trustworthy, keep the limits realistic, and ask for regular accounts and receipts.</w:t>
      </w:r>
    </w:p>
    <w:p>
      <w:pPr>
        <w:pStyle w:val="ListParagraph"/>
        <w:keepNext/>
        <w:numPr>
          <w:ilvl w:val="0"/>
          <w:numId w:val="1"/>
        </w:numPr>
        <w:spacing w:after="120" w:line="264"/>
      </w:pPr>
      <w:r>
        <w:rPr>
          <w:rFonts w:ascii="Calibri" w:cs="Calibri" w:eastAsia="Calibri" w:hAnsi="Calibri"/>
          <w:sz w:val="22"/>
          <w:szCs w:val="22"/>
        </w:rPr>
        <w:t xml:space="preserve">This power ends on the Principal's death or loss of capacity (Article 1919). Philippine law does not recognize a general power that survives incapacity, so ask a lawyer about guardianship or other planning.</w:t>
      </w:r>
    </w:p>
    <w:p>
      <w:pPr>
        <w:pStyle w:val="ListParagraph"/>
        <w:keepNext/>
        <w:numPr>
          <w:ilvl w:val="0"/>
          <w:numId w:val="1"/>
        </w:numPr>
        <w:spacing w:after="120" w:line="264"/>
      </w:pPr>
      <w:r>
        <w:rPr>
          <w:rFonts w:ascii="Calibri" w:cs="Calibri" w:eastAsia="Calibri" w:hAnsi="Calibri"/>
          <w:sz w:val="22"/>
          <w:szCs w:val="22"/>
        </w:rPr>
        <w:t xml:space="preserve">To revoke, do it in writing, tell the Agent, and give a copy of the revocation to every institution that holds this power. Notice in a newspaper of general circulation is a sufficient warning to third persons (Article 1922).</w:t>
      </w:r>
    </w:p>
    <w:p>
      <w:pPr>
        <w:pStyle w:val="ListParagraph"/>
        <w:keepNext/>
        <w:numPr>
          <w:ilvl w:val="0"/>
          <w:numId w:val="1"/>
        </w:numPr>
        <w:spacing w:after="120" w:line="264"/>
      </w:pPr>
      <w:r>
        <w:rPr>
          <w:rFonts w:ascii="Calibri" w:cs="Calibri" w:eastAsia="Calibri" w:hAnsi="Calibri"/>
          <w:sz w:val="22"/>
          <w:szCs w:val="22"/>
        </w:rPr>
        <w:t xml:space="preserve">Notarize before a Philippine notary with competent evidence of identity, or, from 19 October 2026, before an electronic notary commissioned by the Supreme Court. If the Principal signs abroad, a document acknowledged before a Philippine consul needs no apostille; a document notarized by a local notary needs an apostille in an Apostille Convention country, or consular authentication elsewhere.</w:t>
      </w:r>
    </w:p>
    <w:p>
      <w:pPr>
        <w:pStyle w:val="ListParagraph"/>
        <w:keepNext/>
        <w:numPr>
          <w:ilvl w:val="0"/>
          <w:numId w:val="1"/>
        </w:numPr>
        <w:spacing w:after="120" w:line="264"/>
      </w:pPr>
      <w:r>
        <w:rPr>
          <w:rFonts w:ascii="Calibri" w:cs="Calibri" w:eastAsia="Calibri" w:hAnsi="Calibri"/>
          <w:sz w:val="22"/>
          <w:szCs w:val="22"/>
        </w:rPr>
        <w:t xml:space="preserve">Give banks and offices a specimen signature of the Agent and keep the signed original safe. Ask each recipient whether it accepts a copy certified from the notary's records, or insists on the original.</w:t>
      </w:r>
    </w:p>
    <w:p>
      <w:pPr>
        <w:pStyle w:val="ListParagraph"/>
        <w:keepNext/>
        <w:numPr>
          <w:ilvl w:val="0"/>
          <w:numId w:val="1"/>
        </w:numPr>
        <w:spacing w:after="120" w:line="264"/>
      </w:pPr>
      <w:r>
        <w:rPr>
          <w:rFonts w:ascii="Calibri" w:cs="Calibri" w:eastAsia="Calibri" w:hAnsi="Calibri"/>
          <w:sz w:val="22"/>
          <w:szCs w:val="22"/>
        </w:rPr>
        <w:t xml:space="preserve">Government offices such as the BIR, SSS, PhilHealth, and LTO have their own authorization requirements. Check them before relying on this document.</w:t>
      </w:r>
    </w:p>
    <w:p>
      <w:pPr>
        <w:pStyle w:val="ListParagraph"/>
        <w:keepNext/>
        <w:numPr>
          <w:ilvl w:val="0"/>
          <w:numId w:val="1"/>
        </w:numPr>
        <w:spacing w:after="120" w:line="264"/>
      </w:pPr>
      <w:r>
        <w:rPr>
          <w:rFonts w:ascii="Calibri" w:cs="Calibri" w:eastAsia="Calibri" w:hAnsi="Calibri"/>
          <w:sz w:val="22"/>
          <w:szCs w:val="22"/>
        </w:rPr>
        <w:t xml:space="preserve">If the Principal is married, community or conjugal property is administered by both spouses jointly, and disposing of it needs both spouses' consent (Family Code Arts. 96 and 124). Have the spouse sign the conformity line before the Agent manages that property, and use a separate special power with both spouses' written consent for any disposition.</w:t>
      </w:r>
    </w:p>
    <w:p>
      <w:pPr>
        <w:pStyle w:val="ListParagraph"/>
        <w:keepNext w:val="false"/>
        <w:numPr>
          <w:ilvl w:val="0"/>
          <w:numId w:val="1"/>
        </w:numPr>
        <w:spacing w:after="120" w:line="264"/>
      </w:pPr>
      <w:r>
        <w:rPr>
          <w:rFonts w:ascii="Calibri" w:cs="Calibri" w:eastAsia="Calibri" w:hAnsi="Calibri"/>
          <w:sz w:val="22"/>
          <w:szCs w:val="22"/>
        </w:rPr>
        <w:t xml:space="preserve">Use a Philippine lawyer for a large estate, a business, a foreign-country transaction, or any use of this power beyond routine administration.</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lawyer review pending | Last legal check 2026-10-01 | Next review due 2026-10-21</w:t>
      </w:r>
    </w:p>
    <w:p>
      <w:pPr>
        <w:keepNext/>
        <w:spacing w:after="60" w:before="100"/>
      </w:pPr>
      <w:r>
        <w:rPr>
          <w:rFonts w:ascii="Calibri" w:cs="Calibri" w:eastAsia="Calibri" w:hAnsi="Calibri"/>
          <w:b/>
          <w:bCs/>
          <w:sz w:val="18"/>
          <w:szCs w:val="18"/>
        </w:rPr>
        <w:t xml:space="preserve">Civil Code of the Philippines (Republic Act No. 386) - Arts. 1868–1932 (agency); Art. 1876–1877 (general agency covers acts of administration only); Art. 1878 (acts that need a special power); Art. 1874 (sale of land through an agent must be authorized in writing); Arts. 1884, 1891, and 1909 (duty to carry out the agency, duty to account, and liability for fraud and negligence); Arts. 1919–1922 (ending the agency, revocation, and third persons) (checked 2026-10-01)</w:t>
      </w:r>
    </w:p>
    <w:p>
      <w:pPr>
        <w:spacing w:after="120"/>
      </w:pPr>
      <w:hyperlink w:history="1" r:id="rIdgukxpbmdtc0yxvjh0cp_t">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2004 Rules on Notarial Practice - Acknowledgment, personal appearance, competent evidence of identity, and certificate requirements (Rule VIII, Sec. 2); Rule II, Sec. 4 limits copy certification to documents that are not public records or publicly recordable (checked 2026-10-01)</w:t>
      </w:r>
    </w:p>
    <w:p>
      <w:pPr>
        <w:spacing w:after="120"/>
      </w:pPr>
      <w:hyperlink w:history="1" r:id="rIdozjmx1zw8z8pzjx2k6yh9">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through SC-commissioned ENPs and accredited facilities; the SC announced on 25 September 2026 that electronic notarization officially launches on 19 October 2026 (checked 2026-10-01)</w:t>
      </w:r>
    </w:p>
    <w:p>
      <w:pPr>
        <w:spacing w:after="120"/>
      </w:pPr>
      <w:hyperlink w:history="1" r:id="rIdec8dmlqpr4usz6-8q6poy">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Anido v. Republic, G.R. No. 253527 (footnote 100) - The Apostille Convention took effect for the Philippines on 14 May 2019 and covers notarial acts; a document notarized abroad in a Convention state may be apostilled instead of legalized (checked 2026-10-01)</w:t>
      </w:r>
    </w:p>
    <w:p>
      <w:pPr>
        <w:spacing w:after="120"/>
      </w:pPr>
      <w:hyperlink w:history="1" r:id="rIdkdhxbtijxithfylzbcdph">
        <w:r>
          <w:rPr>
            <w:rFonts w:ascii="Calibri" w:cs="Calibri" w:eastAsia="Calibri" w:hAnsi="Calibri"/>
            <w:color w:val="315B75"/>
            <w:sz w:val="17"/>
            <w:szCs w:val="17"/>
            <w:u w:val="single"/>
          </w:rPr>
          <w:t xml:space="preserve">https://sc.judiciary.gov.ph/wp-content/uploads/2025/06/253527.pdf</w:t>
        </w:r>
      </w:hyperlink>
    </w:p>
    <w:p>
      <w:pPr>
        <w:keepNext/>
        <w:spacing w:after="60" w:before="100"/>
      </w:pPr>
      <w:r>
        <w:rPr>
          <w:rFonts w:ascii="Calibri" w:cs="Calibri" w:eastAsia="Calibri" w:hAnsi="Calibri"/>
          <w:b/>
          <w:bCs/>
          <w:sz w:val="18"/>
          <w:szCs w:val="18"/>
        </w:rPr>
        <w:t xml:space="preserve">Family Code of the Philippines (Executive Order No. 209) - Arts. 96 and 124: the administration and enjoyment of community or conjugal property belong to both spouses jointly, and disposition or encumbrance requires both spouses' consent (checked 2026-10-01)</w:t>
      </w:r>
    </w:p>
    <w:p>
      <w:pPr>
        <w:spacing w:after="120"/>
      </w:pPr>
      <w:hyperlink w:history="1" r:id="rIdixfrtwk2cq0ndwgjzs1kc">
        <w:r>
          <w:rPr>
            <w:rFonts w:ascii="Calibri" w:cs="Calibri" w:eastAsia="Calibri" w:hAnsi="Calibri"/>
            <w:color w:val="315B75"/>
            <w:sz w:val="17"/>
            <w:szCs w:val="17"/>
            <w:u w:val="single"/>
          </w:rPr>
          <w:t xml:space="preserve">https://lawphil.net/executive/execord/eo1987/eo_209_1987.html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kxpbmdtc0yxvjh0cp_t" Type="http://schemas.openxmlformats.org/officeDocument/2006/relationships/hyperlink" Target="https://lawphil.net/statutes/repacts/ra1949/ra_386_1949.html" TargetMode="External"/><Relationship Id="rIdozjmx1zw8z8pzjx2k6yh9" Type="http://schemas.openxmlformats.org/officeDocument/2006/relationships/hyperlink" Target="https://sc.judiciary.gov.ph/wp-content/uploads/2022/08/02-08-13-SC-1.pdf" TargetMode="External"/><Relationship Id="rIdec8dmlqpr4usz6-8q6poy" Type="http://schemas.openxmlformats.org/officeDocument/2006/relationships/hyperlink" Target="https://sc.judiciary.gov.ph/24-10-14-sc-rules-on-electronic-notarization/" TargetMode="External"/><Relationship Id="rIdkdhxbtijxithfylzbcdph" Type="http://schemas.openxmlformats.org/officeDocument/2006/relationships/hyperlink" Target="https://sc.judiciary.gov.ph/wp-content/uploads/2025/06/253527.pdf" TargetMode="External"/><Relationship Id="rIdixfrtwk2cq0ndwgjzs1kc" Type="http://schemas.openxmlformats.org/officeDocument/2006/relationships/hyperlink" Target="https://lawphil.net/executive/execord/eo1987/eo_209_1987.html"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POWER OF ATTORNEY</dc:title>
  <dc:creator>LAW.PH</dc:creator>
  <dc:description>Free sample of the General Power of Attorney from LAW.PH, with fictional details</dc:description>
  <cp:lastModifiedBy>Un-named</cp:lastModifiedBy>
  <cp:revision>1</cp:revision>
  <dcterms:created xsi:type="dcterms:W3CDTF">2026-10-02T05:29:56.907Z</dcterms:created>
  <dcterms:modified xsi:type="dcterms:W3CDTF">2026-10-02T05:29:56.907Z</dcterms:modified>
</cp:coreProperties>
</file>

<file path=docProps/custom.xml><?xml version="1.0" encoding="utf-8"?>
<Properties xmlns="http://schemas.openxmlformats.org/officeDocument/2006/custom-properties" xmlns:vt="http://schemas.openxmlformats.org/officeDocument/2006/docPropsVTypes"/>
</file>