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GUARANTY AGREEMENT</w:t>
      </w:r>
    </w:p>
    <w:p>
      <w:pPr>
        <w:spacing w:after="160"/>
        <w:jc w:val="center"/>
      </w:pPr>
      <w:r>
        <w:rPr>
          <w:rFonts w:ascii="Calibri" w:cs="Calibri" w:eastAsia="Calibri" w:hAnsi="Calibri"/>
          <w:color w:val="566674"/>
          <w:sz w:val="18"/>
          <w:szCs w:val="18"/>
        </w:rPr>
        <w:t xml:space="preserve">Republic of the Philippines — Private credit support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contract-lawyer review pending</w:t>
      </w:r>
    </w:p>
    <w:p>
      <w:pPr>
        <w:keepLines/>
        <w:spacing w:after="120" w:line="264"/>
        <w:jc w:val="both"/>
      </w:pPr>
      <w:r>
        <w:rPr>
          <w:rFonts w:ascii="Calibri" w:cs="Calibri" w:eastAsia="Calibri" w:hAnsi="Calibri"/>
          <w:sz w:val="22"/>
          <w:szCs w:val="22"/>
        </w:rPr>
        <w:t xml:space="preserve">This Guaranty Agreement (the "Agreement") is made on September 5, 2026 at Makati City, Philippines, by and among:</w:t>
      </w:r>
    </w:p>
    <w:p>
      <w:pPr>
        <w:keepLines/>
        <w:spacing w:after="120" w:line="264"/>
        <w:jc w:val="both"/>
      </w:pPr>
      <w:r>
        <w:rPr>
          <w:rFonts w:ascii="Calibri" w:cs="Calibri" w:eastAsia="Calibri" w:hAnsi="Calibri"/>
          <w:sz w:val="22"/>
          <w:szCs w:val="22"/>
        </w:rPr>
        <w:t xml:space="preserve">Bayanihan Lending Corporation, a juridical entity represented by Andrea M. Reyes, President, with address at 18/F One Ayala Tower, Ayala Avenue, Makati City 1226 (the "Creditor");</w:t>
      </w:r>
    </w:p>
    <w:p>
      <w:pPr>
        <w:keepLines/>
        <w:spacing w:after="120" w:line="264"/>
        <w:jc w:val="both"/>
      </w:pPr>
      <w:r>
        <w:rPr>
          <w:rFonts w:ascii="Calibri" w:cs="Calibri" w:eastAsia="Calibri" w:hAnsi="Calibri"/>
          <w:sz w:val="22"/>
          <w:szCs w:val="22"/>
        </w:rPr>
        <w:t xml:space="preserve">Juan Miguel Santos, of legal age, with address at Unit 8B, Sampaguita Residences, Quezon City 1100 (the "Debtor"); and</w:t>
      </w:r>
    </w:p>
    <w:p>
      <w:pPr>
        <w:keepLines/>
        <w:spacing w:after="120" w:line="264"/>
        <w:jc w:val="both"/>
      </w:pPr>
      <w:r>
        <w:rPr>
          <w:rFonts w:ascii="Calibri" w:cs="Calibri" w:eastAsia="Calibri" w:hAnsi="Calibri"/>
          <w:sz w:val="22"/>
          <w:szCs w:val="22"/>
        </w:rPr>
        <w:t xml:space="preserve">Maria Cristina Dela Cruz, of legal age, married to Roberto Dela Cruz, with address at 45 Mabini Street, Lipa City, Batangas 4217 (the "Guarantor").</w:t>
      </w:r>
    </w:p>
    <w:p>
      <w:pPr>
        <w:pStyle w:val="Heading2"/>
        <w:keepNext/>
        <w:spacing w:after="120" w:before="240"/>
      </w:pPr>
      <w:r>
        <w:rPr>
          <w:rFonts w:ascii="Calibri" w:cs="Calibri" w:eastAsia="Calibri" w:hAnsi="Calibri"/>
          <w:b/>
          <w:bCs/>
          <w:color w:val="102B3F"/>
          <w:sz w:val="26"/>
          <w:szCs w:val="26"/>
        </w:rPr>
        <w:t xml:space="preserve">Recitals</w:t>
      </w:r>
    </w:p>
    <w:p>
      <w:pPr>
        <w:keepLines/>
        <w:spacing w:after="120" w:line="264"/>
        <w:jc w:val="both"/>
      </w:pPr>
      <w:r>
        <w:rPr>
          <w:rFonts w:ascii="Calibri" w:cs="Calibri" w:eastAsia="Calibri" w:hAnsi="Calibri"/>
          <w:sz w:val="22"/>
          <w:szCs w:val="22"/>
        </w:rPr>
        <w:t xml:space="preserve">The Debtor owes the Creditor a principal obligation of Two Hundred Fifty Thousand Pesos (PHP 250,000.00) arising from a loan or promissory note, identified as Promissory Note No. BLC-2026-0142 dated September 1, 2026 (the "Underlying Obligation"). A term loan for working capital, payable in twelve monthly installments beginning on 1 October 2026, evidenced by Promissory Note No. BLC-2026-0142.</w:t>
      </w:r>
    </w:p>
    <w:p>
      <w:pPr>
        <w:keepLines/>
        <w:spacing w:after="120" w:line="264"/>
        <w:jc w:val="both"/>
      </w:pPr>
      <w:r>
        <w:rPr>
          <w:rFonts w:ascii="Calibri" w:cs="Calibri" w:eastAsia="Calibri" w:hAnsi="Calibri"/>
          <w:sz w:val="22"/>
          <w:szCs w:val="22"/>
        </w:rPr>
        <w:t xml:space="preserve">The Underlying Obligation provides the following interest, penalty, or charges: Interest at 1.5% per month on the diminishing balance as stated in the promissory note.</w:t>
      </w:r>
    </w:p>
    <w:p>
      <w:pPr>
        <w:keepLines/>
        <w:spacing w:after="120" w:line="264"/>
        <w:jc w:val="both"/>
      </w:pPr>
      <w:r>
        <w:rPr>
          <w:rFonts w:ascii="Calibri" w:cs="Calibri" w:eastAsia="Calibri" w:hAnsi="Calibri"/>
          <w:sz w:val="22"/>
          <w:szCs w:val="22"/>
        </w:rPr>
        <w:t xml:space="preserve">The final due date of the Underlying Obligation is September 1, 2027.</w:t>
      </w:r>
    </w:p>
    <w:p>
      <w:pPr>
        <w:keepLines/>
        <w:spacing w:after="120" w:line="264"/>
        <w:jc w:val="both"/>
      </w:pPr>
      <w:r>
        <w:rPr>
          <w:rFonts w:ascii="Calibri" w:cs="Calibri" w:eastAsia="Calibri" w:hAnsi="Calibri"/>
          <w:sz w:val="22"/>
          <w:szCs w:val="22"/>
        </w:rPr>
        <w:t xml:space="preserve">The Guarantor has agreed to answer for the Underlying Obligation on the terms of this Agreement.</w:t>
      </w:r>
    </w:p>
    <w:p>
      <w:pPr>
        <w:pStyle w:val="Heading2"/>
        <w:keepNext/>
        <w:spacing w:after="120" w:before="240"/>
      </w:pPr>
      <w:r>
        <w:rPr>
          <w:rFonts w:ascii="Calibri" w:cs="Calibri" w:eastAsia="Calibri" w:hAnsi="Calibri"/>
          <w:b/>
          <w:bCs/>
          <w:color w:val="102B3F"/>
          <w:sz w:val="26"/>
          <w:szCs w:val="26"/>
        </w:rPr>
        <w:t xml:space="preserve">1. Nature of the Guarantor's liability</w:t>
      </w:r>
    </w:p>
    <w:p>
      <w:pPr>
        <w:keepLines/>
        <w:spacing w:after="120" w:line="264"/>
        <w:jc w:val="both"/>
      </w:pPr>
      <w:r>
        <w:rPr>
          <w:rFonts w:ascii="Calibri" w:cs="Calibri" w:eastAsia="Calibri" w:hAnsi="Calibri"/>
          <w:sz w:val="22"/>
          <w:szCs w:val="22"/>
        </w:rPr>
        <w:t xml:space="preserve">This is a contract of guaranty under Article 2047 of the Civil Code. The Guarantor's liability is secondary: the Guarantor undertakes to fulfil the Underlying Obligation only if the Debtor fails to do so, within the limits of this Agreement.</w:t>
      </w:r>
    </w:p>
    <w:p>
      <w:pPr>
        <w:keepLines/>
        <w:spacing w:after="120" w:line="264"/>
        <w:jc w:val="both"/>
      </w:pPr>
      <w:r>
        <w:rPr>
          <w:rFonts w:ascii="Calibri" w:cs="Calibri" w:eastAsia="Calibri" w:hAnsi="Calibri"/>
          <w:sz w:val="22"/>
          <w:szCs w:val="22"/>
        </w:rPr>
        <w:t xml:space="preserve">The Guarantor keeps the benefit of excussion under Article 2058. To use it, the Guarantor must raise it when the Creditor demands payment and point out available property of the Debtor within Philippine territory that is enough to cover the debt (Article 2060).</w:t>
      </w:r>
    </w:p>
    <w:p>
      <w:pPr>
        <w:pStyle w:val="Heading2"/>
        <w:keepNext/>
        <w:spacing w:after="120" w:before="240"/>
      </w:pPr>
      <w:r>
        <w:rPr>
          <w:rFonts w:ascii="Calibri" w:cs="Calibri" w:eastAsia="Calibri" w:hAnsi="Calibri"/>
          <w:b/>
          <w:bCs/>
          <w:color w:val="102B3F"/>
          <w:sz w:val="26"/>
          <w:szCs w:val="26"/>
        </w:rPr>
        <w:t xml:space="preserve">2. Scope and Maximum Liability</w:t>
      </w:r>
    </w:p>
    <w:p>
      <w:pPr>
        <w:keepLines/>
        <w:spacing w:after="120" w:line="264"/>
        <w:jc w:val="both"/>
      </w:pPr>
      <w:r>
        <w:rPr>
          <w:rFonts w:ascii="Calibri" w:cs="Calibri" w:eastAsia="Calibri" w:hAnsi="Calibri"/>
          <w:sz w:val="22"/>
          <w:szCs w:val="22"/>
        </w:rPr>
        <w:t xml:space="preserve">This Agreement covers the unpaid principal together with the interest, penalties, and charges that the Underlying Obligation validly provides, and judicial costs incurred only after the Guarantor has been judicially required to pay (Article 2055).</w:t>
      </w:r>
    </w:p>
    <w:p>
      <w:pPr>
        <w:keepLines/>
        <w:spacing w:after="120" w:line="264"/>
        <w:jc w:val="both"/>
      </w:pPr>
      <w:r>
        <w:rPr>
          <w:rFonts w:ascii="Calibri" w:cs="Calibri" w:eastAsia="Calibri" w:hAnsi="Calibri"/>
          <w:sz w:val="22"/>
          <w:szCs w:val="22"/>
        </w:rPr>
        <w:t xml:space="preserve">In no event shall the Guarantor be required to pay more than Three Hundred Thousand Pesos (PHP 300,000.00) in total (the "Maximum Liability"). The Guarantor cannot be bound for more than the Debtor owes or on harsher conditions than the Debtor's (Article 2054).</w:t>
      </w:r>
    </w:p>
    <w:p>
      <w:pPr>
        <w:keepLines/>
        <w:spacing w:after="120" w:line="264"/>
        <w:jc w:val="both"/>
      </w:pPr>
      <w:r>
        <w:rPr>
          <w:rFonts w:ascii="Calibri" w:cs="Calibri" w:eastAsia="Calibri" w:hAnsi="Calibri"/>
          <w:sz w:val="22"/>
          <w:szCs w:val="22"/>
        </w:rPr>
        <w:t xml:space="preserve">Only demands made on or before March 1, 2028 are covered by this Agreement.</w:t>
      </w:r>
    </w:p>
    <w:p>
      <w:pPr>
        <w:pStyle w:val="Heading2"/>
        <w:keepNext/>
        <w:spacing w:after="120" w:before="240"/>
      </w:pPr>
      <w:r>
        <w:rPr>
          <w:rFonts w:ascii="Calibri" w:cs="Calibri" w:eastAsia="Calibri" w:hAnsi="Calibri"/>
          <w:b/>
          <w:bCs/>
          <w:color w:val="102B3F"/>
          <w:sz w:val="26"/>
          <w:szCs w:val="26"/>
        </w:rPr>
        <w:t xml:space="preserve">3. Validity of the Underlying Obligation</w:t>
      </w:r>
    </w:p>
    <w:p>
      <w:pPr>
        <w:keepLines/>
        <w:spacing w:after="120" w:line="264"/>
        <w:jc w:val="both"/>
      </w:pPr>
      <w:r>
        <w:rPr>
          <w:rFonts w:ascii="Calibri" w:cs="Calibri" w:eastAsia="Calibri" w:hAnsi="Calibri"/>
          <w:sz w:val="22"/>
          <w:szCs w:val="22"/>
        </w:rPr>
        <w:t xml:space="preserve">The Creditor states that the Underlying Obligation is lawful and valid. A guaranty cannot exist without a valid principal obligation (Article 2052), and the Guarantor may raise against the Creditor every defense that belongs to the Debtor and is inherent in the debt, but not defenses that are purely personal to the Debtor (Article 2081).</w:t>
      </w:r>
    </w:p>
    <w:p>
      <w:pPr>
        <w:pStyle w:val="Heading2"/>
        <w:keepNext/>
        <w:spacing w:after="120" w:before="240"/>
      </w:pPr>
      <w:r>
        <w:rPr>
          <w:rFonts w:ascii="Calibri" w:cs="Calibri" w:eastAsia="Calibri" w:hAnsi="Calibri"/>
          <w:b/>
          <w:bCs/>
          <w:color w:val="102B3F"/>
          <w:sz w:val="26"/>
          <w:szCs w:val="26"/>
        </w:rPr>
        <w:t xml:space="preserve">4. Default, notice, demand, and payment</w:t>
      </w:r>
    </w:p>
    <w:p>
      <w:pPr>
        <w:keepLines/>
        <w:spacing w:after="120" w:line="264"/>
        <w:jc w:val="both"/>
      </w:pPr>
      <w:r>
        <w:rPr>
          <w:rFonts w:ascii="Calibri" w:cs="Calibri" w:eastAsia="Calibri" w:hAnsi="Calibri"/>
          <w:sz w:val="22"/>
          <w:szCs w:val="22"/>
        </w:rPr>
        <w:t xml:space="preserve">The Creditor shall notify the Guarantor in writing within 15 days after the Debtor defaults, stating the amount unpaid and enclosing a statement of account. A late notice does not by itself release the Guarantor, but the Guarantor's liability is reduced by any loss the delay causes the Guarantor.</w:t>
      </w:r>
    </w:p>
    <w:p>
      <w:pPr>
        <w:keepLines/>
        <w:spacing w:after="120" w:line="264"/>
        <w:jc w:val="both"/>
      </w:pPr>
      <w:r>
        <w:rPr>
          <w:rFonts w:ascii="Calibri" w:cs="Calibri" w:eastAsia="Calibri" w:hAnsi="Calibri"/>
          <w:sz w:val="22"/>
          <w:szCs w:val="22"/>
        </w:rPr>
        <w:t xml:space="preserve">After a written demand that complies with this Agreement, the Guarantor shall pay the amount demanded, up to the Maximum Liability, within 15 days.</w:t>
      </w:r>
    </w:p>
    <w:p>
      <w:pPr>
        <w:keepLines/>
        <w:spacing w:after="120" w:line="264"/>
        <w:jc w:val="both"/>
      </w:pPr>
      <w:r>
        <w:rPr>
          <w:rFonts w:ascii="Calibri" w:cs="Calibri" w:eastAsia="Calibri" w:hAnsi="Calibri"/>
          <w:sz w:val="22"/>
          <w:szCs w:val="22"/>
        </w:rPr>
        <w:t xml:space="preserve">A payment by the Guarantor that is late bears interest at 6% per year on the overdue amount from the day after the payment deadline until paid. This is not an authority for an unconscionable rate, and a court may reduce an iniquitous interest or penalty.</w:t>
      </w:r>
    </w:p>
    <w:p>
      <w:pPr>
        <w:pStyle w:val="Heading2"/>
        <w:keepNext/>
        <w:spacing w:after="120" w:before="240"/>
      </w:pPr>
      <w:r>
        <w:rPr>
          <w:rFonts w:ascii="Calibri" w:cs="Calibri" w:eastAsia="Calibri" w:hAnsi="Calibri"/>
          <w:b/>
          <w:bCs/>
          <w:color w:val="102B3F"/>
          <w:sz w:val="26"/>
          <w:szCs w:val="26"/>
        </w:rPr>
        <w:t xml:space="preserve">5. Extensions and changes to the Underlying Obligation</w:t>
      </w:r>
    </w:p>
    <w:p>
      <w:pPr>
        <w:keepLines/>
        <w:spacing w:after="120" w:line="264"/>
        <w:jc w:val="both"/>
      </w:pPr>
      <w:r>
        <w:rPr>
          <w:rFonts w:ascii="Calibri" w:cs="Calibri" w:eastAsia="Calibri" w:hAnsi="Calibri"/>
          <w:sz w:val="22"/>
          <w:szCs w:val="22"/>
        </w:rPr>
        <w:t xml:space="preserve">The Creditor shall not extend the time for payment, renew, increase, or otherwise change the Underlying Obligation without the Guarantor's written consent. An extension granted to the Debtor without the Guarantor's consent extinguishes the guaranty (Article 2079). The Creditor's mere failure to demand payment after the debt falls due is not by itself an extension.</w:t>
      </w:r>
    </w:p>
    <w:p>
      <w:pPr>
        <w:pStyle w:val="Heading2"/>
        <w:keepNext/>
        <w:spacing w:after="120" w:before="240"/>
      </w:pPr>
      <w:r>
        <w:rPr>
          <w:rFonts w:ascii="Calibri" w:cs="Calibri" w:eastAsia="Calibri" w:hAnsi="Calibri"/>
          <w:b/>
          <w:bCs/>
          <w:color w:val="102B3F"/>
          <w:sz w:val="26"/>
          <w:szCs w:val="26"/>
        </w:rPr>
        <w:t xml:space="preserve">6. Recourse against the Debtor</w:t>
      </w:r>
    </w:p>
    <w:p>
      <w:pPr>
        <w:keepLines/>
        <w:spacing w:after="120" w:line="264"/>
        <w:jc w:val="both"/>
      </w:pPr>
      <w:r>
        <w:rPr>
          <w:rFonts w:ascii="Calibri" w:cs="Calibri" w:eastAsia="Calibri" w:hAnsi="Calibri"/>
          <w:sz w:val="22"/>
          <w:szCs w:val="22"/>
        </w:rPr>
        <w:t xml:space="preserve">A Guarantor who pays is subrogated to all the rights the Creditor had against the Debtor (Article 2067) and is entitled to be indemnified by the Debtor for the total amount paid, legal interest from the time payment was made known to the Debtor, expenses incurred after notifying the Debtor that payment had been demanded, and damages if due (Article 2066). On payment, the Creditor shall deliver to the Guarantor the documents and securities relating to the amount paid.</w:t>
      </w:r>
    </w:p>
    <w:p>
      <w:pPr>
        <w:keepLines/>
        <w:spacing w:after="120" w:line="264"/>
        <w:jc w:val="both"/>
      </w:pPr>
      <w:r>
        <w:rPr>
          <w:rFonts w:ascii="Calibri" w:cs="Calibri" w:eastAsia="Calibri" w:hAnsi="Calibri"/>
          <w:sz w:val="22"/>
          <w:szCs w:val="22"/>
        </w:rPr>
        <w:t xml:space="preserve">The Debtor knows of and consents to this Agreement.</w:t>
      </w:r>
    </w:p>
    <w:p>
      <w:pPr>
        <w:keepLines/>
        <w:spacing w:after="120" w:line="264"/>
        <w:jc w:val="both"/>
      </w:pPr>
      <w:r>
        <w:rPr>
          <w:rFonts w:ascii="Calibri" w:cs="Calibri" w:eastAsia="Calibri" w:hAnsi="Calibri"/>
          <w:sz w:val="22"/>
          <w:szCs w:val="22"/>
        </w:rPr>
        <w:t xml:space="preserve">By signing the conformity below, the Debtor promises to reimburse and indemnify the Guarantor for every amount the Guarantor pays under this Agreement, with the interest, expenses, and damages described above.</w:t>
      </w:r>
    </w:p>
    <w:p>
      <w:pPr>
        <w:pStyle w:val="Heading2"/>
        <w:keepNext/>
        <w:spacing w:after="120" w:before="240"/>
      </w:pPr>
      <w:r>
        <w:rPr>
          <w:rFonts w:ascii="Calibri" w:cs="Calibri" w:eastAsia="Calibri" w:hAnsi="Calibri"/>
          <w:b/>
          <w:bCs/>
          <w:color w:val="102B3F"/>
          <w:sz w:val="26"/>
          <w:szCs w:val="26"/>
        </w:rPr>
        <w:t xml:space="preserve">7. Consideration</w:t>
      </w:r>
    </w:p>
    <w:p>
      <w:pPr>
        <w:keepLines/>
        <w:spacing w:after="120" w:line="264"/>
        <w:jc w:val="both"/>
      </w:pPr>
      <w:r>
        <w:rPr>
          <w:rFonts w:ascii="Calibri" w:cs="Calibri" w:eastAsia="Calibri" w:hAnsi="Calibri"/>
          <w:sz w:val="22"/>
          <w:szCs w:val="22"/>
        </w:rPr>
        <w:t xml:space="preserve">The Guarantor gives this Agreement without a fee.</w:t>
      </w:r>
    </w:p>
    <w:p>
      <w:pPr>
        <w:pStyle w:val="Heading2"/>
        <w:keepNext/>
        <w:spacing w:after="120" w:before="240"/>
      </w:pPr>
      <w:r>
        <w:rPr>
          <w:rFonts w:ascii="Calibri" w:cs="Calibri" w:eastAsia="Calibri" w:hAnsi="Calibri"/>
          <w:b/>
          <w:bCs/>
          <w:color w:val="102B3F"/>
          <w:sz w:val="26"/>
          <w:szCs w:val="26"/>
        </w:rPr>
        <w:t xml:space="preserve">8. Marital property</w:t>
      </w:r>
    </w:p>
    <w:p>
      <w:pPr>
        <w:keepLines/>
        <w:spacing w:after="120" w:line="264"/>
        <w:jc w:val="both"/>
      </w:pPr>
      <w:r>
        <w:rPr>
          <w:rFonts w:ascii="Calibri" w:cs="Calibri" w:eastAsia="Calibri" w:hAnsi="Calibri"/>
          <w:sz w:val="22"/>
          <w:szCs w:val="22"/>
        </w:rPr>
        <w:t xml:space="preserve">The Guarantor's spouse, Roberto Dela Cruz, has read this Agreement and consents to it, and signs below so that the community or conjugal property answers for it to the extent the law allows.</w:t>
      </w:r>
    </w:p>
    <w:p>
      <w:pPr>
        <w:pStyle w:val="Heading2"/>
        <w:keepNext/>
        <w:spacing w:after="120" w:before="240"/>
      </w:pPr>
      <w:r>
        <w:rPr>
          <w:rFonts w:ascii="Calibri" w:cs="Calibri" w:eastAsia="Calibri" w:hAnsi="Calibri"/>
          <w:b/>
          <w:bCs/>
          <w:color w:val="102B3F"/>
          <w:sz w:val="26"/>
          <w:szCs w:val="26"/>
        </w:rPr>
        <w:t xml:space="preserve">9. General terms</w:t>
      </w:r>
    </w:p>
    <w:p>
      <w:pPr>
        <w:keepLines/>
        <w:spacing w:after="120" w:line="264"/>
        <w:jc w:val="both"/>
      </w:pPr>
      <w:r>
        <w:rPr>
          <w:rFonts w:ascii="Calibri" w:cs="Calibri" w:eastAsia="Calibri" w:hAnsi="Calibri"/>
          <w:sz w:val="22"/>
          <w:szCs w:val="22"/>
        </w:rPr>
        <w:t xml:space="preserve">This Agreement is a special promise to answer for the debt of another and is in writing as Article 1403(2)(b) of the Civil Code requires.</w:t>
      </w:r>
    </w:p>
    <w:p>
      <w:pPr>
        <w:keepLines/>
        <w:spacing w:after="120" w:line="264"/>
        <w:jc w:val="both"/>
      </w:pPr>
      <w:r>
        <w:rPr>
          <w:rFonts w:ascii="Calibri" w:cs="Calibri" w:eastAsia="Calibri" w:hAnsi="Calibri"/>
          <w:sz w:val="22"/>
          <w:szCs w:val="22"/>
        </w:rPr>
        <w:t xml:space="preserve">All notices shall be in writing and sent to the addresses stated above or to a later address a party has given by written notice. This Agreement, together with the Underlying Obligation, is the whole agreement on the guaranty. If any provision is held invalid, the rest remains in force. Philippine law governs. The parties shall first try in good faith to settle any dispute by mediation before filing a court action. This does not prevent either party from asking a court for urgent relief. Any court action arising from this Agreement shall be filed exclusively in the proper courts of Makati City, to the exclusion of all other courts.</w:t>
      </w:r>
    </w:p>
    <w:p>
      <w:pPr>
        <w:keepNext/>
        <w:spacing w:after="260" w:before="360"/>
      </w:pPr>
      <w:r>
        <w:rPr>
          <w:rFonts w:ascii="Calibri" w:cs="Calibri" w:eastAsia="Calibri" w:hAnsi="Calibri"/>
          <w:b/>
          <w:bCs/>
          <w:sz w:val="22"/>
          <w:szCs w:val="22"/>
        </w:rPr>
        <w:t xml:space="preserve">IN WITNESS WHEREOF, the parties have signed this Agreement on September 5, 2026 at Makati City,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CREDITOR</w:t>
            </w:r>
          </w:p>
          <w:p>
            <w:pPr>
              <w:spacing w:after="120"/>
            </w:pPr>
            <w:r>
              <w:rPr>
                <w:rFonts w:ascii="Calibri" w:cs="Calibri" w:eastAsia="Calibri" w:hAnsi="Calibri"/>
                <w:sz w:val="22"/>
                <w:szCs w:val="22"/>
              </w:rPr>
              <w:t xml:space="preserve">Bayanihan Lending Corporation
By: Andrea M. Reyes, President
Signature over printed name: ______________________________</w:t>
            </w:r>
          </w:p>
          <w:p>
            <w:pPr>
              <w:spacing w:after="120"/>
            </w:pPr>
            <w:r>
              <w:rPr>
                <w:rFonts w:ascii="Calibri" w:cs="Calibri" w:eastAsia="Calibri" w:hAnsi="Calibri"/>
                <w:sz w:val="22"/>
                <w:szCs w:val="22"/>
              </w:rPr>
              <w:t xml:space="preserve">Authorized signatory</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GUARANTOR</w:t>
            </w:r>
          </w:p>
          <w:p>
            <w:pPr>
              <w:spacing w:after="120"/>
            </w:pPr>
            <w:r>
              <w:rPr>
                <w:rFonts w:ascii="Calibri" w:cs="Calibri" w:eastAsia="Calibri" w:hAnsi="Calibri"/>
                <w:sz w:val="22"/>
                <w:szCs w:val="22"/>
              </w:rPr>
              <w:t xml:space="preserve">Maria Cristina Dela Cruz
Signature over printed name: ______________________________</w:t>
            </w:r>
          </w:p>
          <w:p>
            <w:pPr>
              <w:spacing w:after="120"/>
            </w:pPr>
            <w:r>
              <w:rPr>
                <w:rFonts w:ascii="Calibri" w:cs="Calibri" w:eastAsia="Calibri" w:hAnsi="Calibri"/>
                <w:sz w:val="22"/>
                <w:szCs w:val="22"/>
              </w:rPr>
              <w:t xml:space="preserve">Guarantor</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SPOUSE'S CONSENT</w:t>
            </w:r>
          </w:p>
          <w:p>
            <w:pPr>
              <w:spacing w:after="120"/>
            </w:pPr>
            <w:r>
              <w:rPr>
                <w:rFonts w:ascii="Calibri" w:cs="Calibri" w:eastAsia="Calibri" w:hAnsi="Calibri"/>
                <w:sz w:val="22"/>
                <w:szCs w:val="22"/>
              </w:rPr>
              <w:t xml:space="preserve">Roberto Dela Cruz
Signature over printed name: ______________________________</w:t>
            </w:r>
          </w:p>
          <w:p>
            <w:pPr>
              <w:spacing w:after="120"/>
            </w:pPr>
            <w:r>
              <w:rPr>
                <w:rFonts w:ascii="Calibri" w:cs="Calibri" w:eastAsia="Calibri" w:hAnsi="Calibri"/>
                <w:sz w:val="22"/>
                <w:szCs w:val="22"/>
              </w:rPr>
              <w:t xml:space="preserve">Spouse of the Guarantor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DEBTOR — CONFORME</w:t>
            </w:r>
          </w:p>
          <w:p>
            <w:pPr>
              <w:spacing w:after="120"/>
            </w:pPr>
            <w:r>
              <w:rPr>
                <w:rFonts w:ascii="Calibri" w:cs="Calibri" w:eastAsia="Calibri" w:hAnsi="Calibri"/>
                <w:sz w:val="22"/>
                <w:szCs w:val="22"/>
              </w:rPr>
              <w:t xml:space="preserve">Juan Miguel Santos
Signature over printed name: ______________________________</w:t>
            </w:r>
          </w:p>
          <w:p>
            <w:pPr>
              <w:spacing w:after="120"/>
            </w:pPr>
            <w:r>
              <w:rPr>
                <w:rFonts w:ascii="Calibri" w:cs="Calibri" w:eastAsia="Calibri" w:hAnsi="Calibri"/>
                <w:sz w:val="22"/>
                <w:szCs w:val="22"/>
              </w:rPr>
              <w:t xml:space="preserve">Debtor, agreeing to indemnify the Guarantor</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WITNESS</w:t>
            </w:r>
          </w:p>
          <w:p>
            <w:pPr>
              <w:spacing w:after="120"/>
            </w:pPr>
            <w:r>
              <w:rPr>
                <w:rFonts w:ascii="Calibri" w:cs="Calibri" w:eastAsia="Calibri" w:hAnsi="Calibri"/>
                <w:sz w:val="22"/>
                <w:szCs w:val="22"/>
              </w:rPr>
              <w:t xml:space="preserve">Carlo P. Mendoza
Signature over printed name: ______________________________</w:t>
            </w:r>
          </w:p>
          <w:p>
            <w:pPr>
              <w:spacing w:after="120"/>
            </w:pPr>
            <w:r>
              <w:rPr>
                <w:rFonts w:ascii="Calibri" w:cs="Calibri" w:eastAsia="Calibri" w:hAnsi="Calibri"/>
                <w:sz w:val="22"/>
                <w:szCs w:val="22"/>
              </w:rPr>
              <w:t xml:space="preserve">Witness</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WITNESS</w:t>
            </w:r>
          </w:p>
          <w:p>
            <w:pPr>
              <w:spacing w:after="120"/>
            </w:pPr>
            <w:r>
              <w:rPr>
                <w:rFonts w:ascii="Calibri" w:cs="Calibri" w:eastAsia="Calibri" w:hAnsi="Calibri"/>
                <w:sz w:val="22"/>
                <w:szCs w:val="22"/>
              </w:rPr>
              <w:t xml:space="preserve">Liza T. Ramos
Signature over printed name: ______________________________</w:t>
            </w:r>
          </w:p>
          <w:p>
            <w:pPr>
              <w:spacing w:after="120"/>
            </w:pPr>
            <w:r>
              <w:rPr>
                <w:rFonts w:ascii="Calibri" w:cs="Calibri" w:eastAsia="Calibri" w:hAnsi="Calibri"/>
                <w:sz w:val="22"/>
                <w:szCs w:val="22"/>
              </w:rPr>
              <w:t xml:space="preserve">Witness</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NOTARIAL OFFICER TO COMPLETE</w:t>
      </w:r>
    </w:p>
    <w:p>
      <w:pPr>
        <w:keepLines/>
        <w:spacing w:after="120" w:line="264"/>
        <w:jc w:val="both"/>
      </w:pPr>
      <w:r>
        <w:rPr>
          <w:rFonts w:ascii="Calibri" w:cs="Calibri" w:eastAsia="Calibri" w:hAnsi="Calibri"/>
          <w:sz w:val="22"/>
          <w:szCs w:val="22"/>
        </w:rPr>
        <w:t xml:space="preserve">BEFORE ME, a Notary Public for and in Makati City, Philippines, on __________________, personally appeared Andrea M. Reyes, President, Maria Cristina Dela Cruz, Roberto Dela Cruz and Juan Miguel Santos, identified through competent evidence of identity, ID No(s). __________________ / issued at and on __________________ / valid until __________________, known to me and to me known to be the same person(s) who executed this Guaranty Agreement and acknowledged that it is their free and voluntary act and deed, and Andrea M. Reyes, President declared that they have the authority to sign in that capacity for Bayanihan Lending Corporation.</w:t>
      </w:r>
    </w:p>
    <w:p>
      <w:pPr>
        <w:keepLines/>
        <w:spacing w:after="120" w:line="264"/>
        <w:jc w:val="both"/>
      </w:pPr>
      <w:r>
        <w:rPr>
          <w:rFonts w:ascii="Calibri" w:cs="Calibri" w:eastAsia="Calibri" w:hAnsi="Calibri"/>
          <w:sz w:val="22"/>
          <w:szCs w:val="22"/>
        </w:rPr>
        <w:t xml:space="preserve">NOTARY PUBLIC
Notary Public for __________________ until December 31, ______
Commission No.: __________________
PTR / IBP / Roll details: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Attach or keep the underlying contract, promissory note, and a current statement of account. A guaranty depends on a valid principal obligation and cannot go beyond it.</w:t>
      </w:r>
    </w:p>
    <w:p>
      <w:pPr>
        <w:pStyle w:val="ListParagraph"/>
        <w:keepNext/>
        <w:numPr>
          <w:ilvl w:val="0"/>
          <w:numId w:val="1"/>
        </w:numPr>
        <w:spacing w:after="120" w:line="264"/>
      </w:pPr>
      <w:r>
        <w:rPr>
          <w:rFonts w:ascii="Calibri" w:cs="Calibri" w:eastAsia="Calibri" w:hAnsi="Calibri"/>
          <w:sz w:val="22"/>
          <w:szCs w:val="22"/>
        </w:rPr>
        <w:t xml:space="preserve">Confirm the Guarantor understands which was chosen. A guaranty is secondary; a suretyship makes the Guarantor liable as a principal debtor, and the Creditor can pursue the Guarantor first.</w:t>
      </w:r>
    </w:p>
    <w:p>
      <w:pPr>
        <w:pStyle w:val="ListParagraph"/>
        <w:keepNext/>
        <w:numPr>
          <w:ilvl w:val="0"/>
          <w:numId w:val="1"/>
        </w:numPr>
        <w:spacing w:after="120" w:line="264"/>
      </w:pPr>
      <w:r>
        <w:rPr>
          <w:rFonts w:ascii="Calibri" w:cs="Calibri" w:eastAsia="Calibri" w:hAnsi="Calibri"/>
          <w:sz w:val="22"/>
          <w:szCs w:val="22"/>
        </w:rPr>
        <w:t xml:space="preserve">For a guaranty that keeps the benefit of excussion, expect the Creditor to pursue the Debtor's property first. The Guarantor must raise excussion when payment is demanded and point to that property (Article 2060).</w:t>
      </w:r>
    </w:p>
    <w:p>
      <w:pPr>
        <w:pStyle w:val="ListParagraph"/>
        <w:keepNext/>
        <w:numPr>
          <w:ilvl w:val="0"/>
          <w:numId w:val="1"/>
        </w:numPr>
        <w:spacing w:after="120" w:line="264"/>
      </w:pPr>
      <w:r>
        <w:rPr>
          <w:rFonts w:ascii="Calibri" w:cs="Calibri" w:eastAsia="Calibri" w:hAnsi="Calibri"/>
          <w:sz w:val="22"/>
          <w:szCs w:val="22"/>
        </w:rPr>
        <w:t xml:space="preserve">Do not extend, renew, restructure, or increase the debt without the Guarantor's written consent. Under Article 2079 an unconsented extension can end the guaranty; keep proof of any consent.</w:t>
      </w:r>
    </w:p>
    <w:p>
      <w:pPr>
        <w:pStyle w:val="ListParagraph"/>
        <w:keepNext/>
        <w:numPr>
          <w:ilvl w:val="0"/>
          <w:numId w:val="1"/>
        </w:numPr>
        <w:spacing w:after="120" w:line="264"/>
      </w:pPr>
      <w:r>
        <w:rPr>
          <w:rFonts w:ascii="Calibri" w:cs="Calibri" w:eastAsia="Calibri" w:hAnsi="Calibri"/>
          <w:sz w:val="22"/>
          <w:szCs w:val="22"/>
        </w:rPr>
        <w:t xml:space="preserve">For a married Guarantor, community or conjugal property may not answer for a guaranty of a stranger's debt that does not benefit the family. Obtain the spouse's informed written consent where the Creditor wants to reach that property, and ask a lawyer about the property regime.</w:t>
      </w:r>
    </w:p>
    <w:p>
      <w:pPr>
        <w:pStyle w:val="ListParagraph"/>
        <w:keepNext/>
        <w:numPr>
          <w:ilvl w:val="0"/>
          <w:numId w:val="1"/>
        </w:numPr>
        <w:spacing w:after="120" w:line="264"/>
      </w:pPr>
      <w:r>
        <w:rPr>
          <w:rFonts w:ascii="Calibri" w:cs="Calibri" w:eastAsia="Calibri" w:hAnsi="Calibri"/>
          <w:sz w:val="22"/>
          <w:szCs w:val="22"/>
        </w:rPr>
        <w:t xml:space="preserve">Keep any interest or penalty reasonable and computed from the underlying documents. Courts reduce unconscionable rates, and a reduced rate should not surprise the Guarantor.</w:t>
      </w:r>
    </w:p>
    <w:p>
      <w:pPr>
        <w:pStyle w:val="ListParagraph"/>
        <w:keepNext/>
        <w:numPr>
          <w:ilvl w:val="0"/>
          <w:numId w:val="1"/>
        </w:numPr>
        <w:spacing w:after="120" w:line="264"/>
      </w:pPr>
      <w:r>
        <w:rPr>
          <w:rFonts w:ascii="Calibri" w:cs="Calibri" w:eastAsia="Calibri" w:hAnsi="Calibri"/>
          <w:sz w:val="22"/>
          <w:szCs w:val="22"/>
        </w:rPr>
        <w:t xml:space="preserve">A notarized guaranty is a public instrument and is easier to prove and enforce. The Guarantor and every signer must appear personally and show competent evidence of identity.</w:t>
      </w:r>
    </w:p>
    <w:p>
      <w:pPr>
        <w:pStyle w:val="ListParagraph"/>
        <w:keepNext/>
        <w:numPr>
          <w:ilvl w:val="0"/>
          <w:numId w:val="1"/>
        </w:numPr>
        <w:spacing w:after="120" w:line="264"/>
      </w:pPr>
      <w:r>
        <w:rPr>
          <w:rFonts w:ascii="Calibri" w:cs="Calibri" w:eastAsia="Calibri" w:hAnsi="Calibri"/>
          <w:sz w:val="22"/>
          <w:szCs w:val="22"/>
        </w:rPr>
        <w:t xml:space="preserve">Check documentary stamp tax and any lender-specific requirements. If the Creditor is a lending or financing company, its disclosure duties for the underlying loan (including the Truth in Lending Act) continue to apply.</w:t>
      </w:r>
    </w:p>
    <w:p>
      <w:pPr>
        <w:pStyle w:val="ListParagraph"/>
        <w:keepNext/>
        <w:numPr>
          <w:ilvl w:val="0"/>
          <w:numId w:val="1"/>
        </w:numPr>
        <w:spacing w:after="120" w:line="264"/>
      </w:pPr>
      <w:r>
        <w:rPr>
          <w:rFonts w:ascii="Calibri" w:cs="Calibri" w:eastAsia="Calibri" w:hAnsi="Calibri"/>
          <w:sz w:val="22"/>
          <w:szCs w:val="22"/>
        </w:rPr>
        <w:t xml:space="preserve">Keep the signed original and proof of delivery for every notice and demand. The notice and payment deadlines in this Agreement run from those dates.</w:t>
      </w:r>
    </w:p>
    <w:p>
      <w:pPr>
        <w:pStyle w:val="ListParagraph"/>
        <w:keepNext w:val="false"/>
        <w:numPr>
          <w:ilvl w:val="0"/>
          <w:numId w:val="1"/>
        </w:numPr>
        <w:spacing w:after="120" w:line="264"/>
      </w:pPr>
      <w:r>
        <w:rPr>
          <w:rFonts w:ascii="Calibri" w:cs="Calibri" w:eastAsia="Calibri" w:hAnsi="Calibri"/>
          <w:sz w:val="22"/>
          <w:szCs w:val="22"/>
        </w:rPr>
        <w:t xml:space="preserve">Use a Philippine lawyer for a corporate Guarantor (board authority), a guaranty that supports a mortgage or bank facility, or any dispute over the amount or validity of the debt.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contract-lawyer review pending | Last legal check 2026-10-01 | Next review due 2026-11-21</w:t>
      </w:r>
    </w:p>
    <w:p>
      <w:pPr>
        <w:keepNext/>
        <w:spacing w:after="60" w:before="100"/>
      </w:pPr>
      <w:r>
        <w:rPr>
          <w:rFonts w:ascii="Calibri" w:cs="Calibri" w:eastAsia="Calibri" w:hAnsi="Calibri"/>
          <w:b/>
          <w:bCs/>
          <w:sz w:val="18"/>
          <w:szCs w:val="18"/>
        </w:rPr>
        <w:t xml:space="preserve">Civil Code of the Philippines (Republic Act No. 386) - Arts. 2047–2084 (guaranty and suretyship, benefit of excussion, extent of liability, subrogation, release of the guarantor); Art. 1403(2)(b) (a promise to answer for another's debt must be in writing); Arts. 1207–1222 (solidary obligations) (checked 2026-09-21)</w:t>
      </w:r>
    </w:p>
    <w:p>
      <w:pPr>
        <w:spacing w:after="120"/>
      </w:pPr>
      <w:hyperlink w:history="1" r:id="rIdncfdnyuj4rdczfoqo7dex">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Family Code of the Philippines (Executive Order No. 209) - Arts. 94 and 121–122: obligations chargeable to community or conjugal property; personal debts and benefit to the family (checked 2026-09-21)</w:t>
      </w:r>
    </w:p>
    <w:p>
      <w:pPr>
        <w:spacing w:after="120"/>
      </w:pPr>
      <w:hyperlink w:history="1" r:id="rIdmcr3uiv5csmwhinyfqkxj">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2004 Rules on Notarial Practice (A.M. No. 02-8-13-SC) - Rule II Sec. 1 (acknowledgment, personal appearance, competent evidence of identity, and a representative's declaration of authority to sign in that capacity); Rule VIII Sec. 2 (certificate states the place of commission and its expiry) (checked 2026-10-01)</w:t>
      </w:r>
    </w:p>
    <w:p>
      <w:pPr>
        <w:spacing w:after="120"/>
      </w:pPr>
      <w:hyperlink w:history="1" r:id="rIdauethku0pwsar177tkajz">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Amendments to the 2004 Rules on Notarial Practice (Resolution of March 4, 2025, A.M. No. 02-8-13-SC) - Amended notarial practice rules, including the notary's professional email address of record and submission of digitized duplicate originals (checked 2026-10-01)</w:t>
      </w:r>
    </w:p>
    <w:p>
      <w:pPr>
        <w:spacing w:after="120"/>
      </w:pPr>
      <w:hyperlink w:history="1" r:id="rIdobetwfypw68acmm-oa5or">
        <w:r>
          <w:rPr>
            <w:rFonts w:ascii="Calibri" w:cs="Calibri" w:eastAsia="Calibri" w:hAnsi="Calibri"/>
            <w:color w:val="315B75"/>
            <w:sz w:val="17"/>
            <w:szCs w:val="17"/>
            <w:u w:val="single"/>
          </w:rPr>
          <w:t xml:space="preserve">https://sc.judiciary.gov.ph/wp-content/uploads/2025/06/Amended-2004-Notarial-Rules.pdf</w:t>
        </w:r>
      </w:hyperlink>
    </w:p>
    <w:p>
      <w:pPr>
        <w:keepNext/>
        <w:spacing w:after="60" w:before="100"/>
      </w:pPr>
      <w:r>
        <w:rPr>
          <w:rFonts w:ascii="Calibri" w:cs="Calibri" w:eastAsia="Calibri" w:hAnsi="Calibri"/>
          <w:b/>
          <w:bCs/>
          <w:sz w:val="18"/>
          <w:szCs w:val="18"/>
        </w:rPr>
        <w:t xml:space="preserve">Cruz v. Filipinas Investment &amp; Finance Corp., G.R. No. L-24772 (En Banc, May 27, 1968) - After foreclosure of the chattel mortgage on personal property sold on installments, Art. 1484(3) bars recovery of the deficiency through a guarantor or third-party security, because the guarantor would recover from the buyer under Art. 2066 (checked 2026-10-01)</w:t>
      </w:r>
    </w:p>
    <w:p>
      <w:pPr>
        <w:spacing w:after="120"/>
      </w:pPr>
      <w:hyperlink w:history="1" r:id="rIdw3b468whcimhmf43-uc9s">
        <w:r>
          <w:rPr>
            <w:rFonts w:ascii="Calibri" w:cs="Calibri" w:eastAsia="Calibri" w:hAnsi="Calibri"/>
            <w:color w:val="315B75"/>
            <w:sz w:val="17"/>
            <w:szCs w:val="17"/>
            <w:u w:val="single"/>
          </w:rPr>
          <w:t xml:space="preserve">https://lawphil.net/judjuris/juri1968/may1968/gr_l-24772_1968.html</w:t>
        </w:r>
      </w:hyperlink>
    </w:p>
    <w:p>
      <w:pPr>
        <w:keepNext/>
        <w:spacing w:after="60" w:before="100"/>
      </w:pPr>
      <w:r>
        <w:rPr>
          <w:rFonts w:ascii="Calibri" w:cs="Calibri" w:eastAsia="Calibri" w:hAnsi="Calibri"/>
          <w:b/>
          <w:bCs/>
          <w:sz w:val="18"/>
          <w:szCs w:val="18"/>
        </w:rPr>
        <w:t xml:space="preserve">Supreme Court Administrative Circular No. 14-93 - Part I(4): complaints by or against corporations, partnerships, or juridical entities are excepted from barangay conciliation, since only individuals may be parties (checked 2026-10-01)</w:t>
      </w:r>
    </w:p>
    <w:p>
      <w:pPr>
        <w:spacing w:after="120"/>
      </w:pPr>
      <w:hyperlink w:history="1" r:id="rIdvosn3-g9wrdruhhq7ewjj">
        <w:r>
          <w:rPr>
            <w:rFonts w:ascii="Calibri" w:cs="Calibri" w:eastAsia="Calibri" w:hAnsi="Calibri"/>
            <w:color w:val="315B75"/>
            <w:sz w:val="17"/>
            <w:szCs w:val="17"/>
            <w:u w:val="single"/>
          </w:rPr>
          <w:t xml:space="preserve">https://lawphil.net/courts/supreme/ac/ac_14_1993.html</w:t>
        </w:r>
      </w:hyperlink>
    </w:p>
    <w:p>
      <w:pPr>
        <w:keepNext/>
        <w:spacing w:after="60" w:before="100"/>
      </w:pPr>
      <w:r>
        <w:rPr>
          <w:rFonts w:ascii="Calibri" w:cs="Calibri" w:eastAsia="Calibri" w:hAnsi="Calibri"/>
          <w:b/>
          <w:bCs/>
          <w:sz w:val="18"/>
          <w:szCs w:val="18"/>
        </w:rPr>
        <w:t xml:space="preserve">Truth in Lending Act (Republic Act No. 3765) - Finance-charge disclosure duties for the underlying credit transaction, where the debt is consumer credit (checked 2026-09-21)</w:t>
      </w:r>
    </w:p>
    <w:p>
      <w:pPr>
        <w:spacing w:after="120"/>
      </w:pPr>
      <w:hyperlink w:history="1" r:id="rId7wmiwdxwaf0ztr76k2ftp">
        <w:r>
          <w:rPr>
            <w:rFonts w:ascii="Calibri" w:cs="Calibri" w:eastAsia="Calibri" w:hAnsi="Calibri"/>
            <w:color w:val="315B75"/>
            <w:sz w:val="17"/>
            <w:szCs w:val="17"/>
            <w:u w:val="single"/>
          </w:rPr>
          <w:t xml:space="preserve">https://lawphil.net/statutes/repacts/ra1963/ra_3765_1963.html</w:t>
        </w:r>
      </w:hyperlink>
    </w:p>
    <w:p>
      <w:pPr>
        <w:keepNext/>
        <w:spacing w:after="60" w:before="100"/>
      </w:pPr>
      <w:r>
        <w:rPr>
          <w:rFonts w:ascii="Calibri" w:cs="Calibri" w:eastAsia="Calibri" w:hAnsi="Calibri"/>
          <w:b/>
          <w:bCs/>
          <w:sz w:val="18"/>
          <w:szCs w:val="18"/>
        </w:rPr>
        <w:t xml:space="preserve">Alternative Dispute Resolution Act of 2004 (Republic Act No. 9285) - Mediation and other amicable-settlement routes recognized before or alongside court action (checked 2026-09-21)</w:t>
      </w:r>
    </w:p>
    <w:p>
      <w:pPr>
        <w:spacing w:after="120"/>
      </w:pPr>
      <w:hyperlink w:history="1" r:id="rIdovgqukajp9kysad2pwtqk">
        <w:r>
          <w:rPr>
            <w:rFonts w:ascii="Calibri" w:cs="Calibri" w:eastAsia="Calibri" w:hAnsi="Calibri"/>
            <w:color w:val="315B75"/>
            <w:sz w:val="17"/>
            <w:szCs w:val="17"/>
            <w:u w:val="single"/>
          </w:rPr>
          <w:t xml:space="preserve">https://lawphil.net/statutes/repacts/ra2004/ra_9285_2004.html</w:t>
        </w:r>
      </w:hyperlink>
    </w:p>
    <w:p>
      <w:pPr>
        <w:keepNext/>
        <w:spacing w:after="60" w:before="100"/>
      </w:pPr>
      <w:r>
        <w:rPr>
          <w:rFonts w:ascii="Calibri" w:cs="Calibri" w:eastAsia="Calibri" w:hAnsi="Calibri"/>
          <w:b/>
          <w:bCs/>
          <w:sz w:val="18"/>
          <w:szCs w:val="18"/>
        </w:rPr>
        <w:t xml:space="preserve">Local Government Code of 1991 (Republic Act No. 7160) - Sec. 408: barangay conciliation for disputes between parties residing in the same city or municipality (checked 2026-09-21)</w:t>
      </w:r>
    </w:p>
    <w:p>
      <w:pPr>
        <w:spacing w:after="120"/>
      </w:pPr>
      <w:hyperlink w:history="1" r:id="rIdtjjuegc0oew2xd5cmi2mo">
        <w:r>
          <w:rPr>
            <w:rFonts w:ascii="Calibri" w:cs="Calibri" w:eastAsia="Calibri" w:hAnsi="Calibri"/>
            <w:color w:val="315B75"/>
            <w:sz w:val="17"/>
            <w:szCs w:val="17"/>
            <w:u w:val="single"/>
          </w:rPr>
          <w:t xml:space="preserve">https://lawphil.net/statutes/repacts/ra1991/ra_7160_1991.html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fdnyuj4rdczfoqo7dex" Type="http://schemas.openxmlformats.org/officeDocument/2006/relationships/hyperlink" Target="https://lawphil.net/statutes/repacts/ra1949/ra_386_1949.html" TargetMode="External"/><Relationship Id="rIdmcr3uiv5csmwhinyfqkxj" Type="http://schemas.openxmlformats.org/officeDocument/2006/relationships/hyperlink" Target="https://lawphil.net/executive/execord/eo1987/eo_209_1987.html" TargetMode="External"/><Relationship Id="rIdauethku0pwsar177tkajz" Type="http://schemas.openxmlformats.org/officeDocument/2006/relationships/hyperlink" Target="https://sc.judiciary.gov.ph/wp-content/uploads/2022/08/02-08-13-SC-1.pdf" TargetMode="External"/><Relationship Id="rIdobetwfypw68acmm-oa5or" Type="http://schemas.openxmlformats.org/officeDocument/2006/relationships/hyperlink" Target="https://sc.judiciary.gov.ph/wp-content/uploads/2025/06/Amended-2004-Notarial-Rules.pdf" TargetMode="External"/><Relationship Id="rIdw3b468whcimhmf43-uc9s" Type="http://schemas.openxmlformats.org/officeDocument/2006/relationships/hyperlink" Target="https://lawphil.net/judjuris/juri1968/may1968/gr_l-24772_1968.html" TargetMode="External"/><Relationship Id="rIdvosn3-g9wrdruhhq7ewjj" Type="http://schemas.openxmlformats.org/officeDocument/2006/relationships/hyperlink" Target="https://lawphil.net/courts/supreme/ac/ac_14_1993.html" TargetMode="External"/><Relationship Id="rId7wmiwdxwaf0ztr76k2ftp" Type="http://schemas.openxmlformats.org/officeDocument/2006/relationships/hyperlink" Target="https://lawphil.net/statutes/repacts/ra1963/ra_3765_1963.html" TargetMode="External"/><Relationship Id="rIdovgqukajp9kysad2pwtqk" Type="http://schemas.openxmlformats.org/officeDocument/2006/relationships/hyperlink" Target="https://lawphil.net/statutes/repacts/ra2004/ra_9285_2004.html" TargetMode="External"/><Relationship Id="rIdtjjuegc0oew2xd5cmi2mo" Type="http://schemas.openxmlformats.org/officeDocument/2006/relationships/hyperlink" Target="https://lawphil.net/statutes/repacts/ra1991/ra_7160_1991.html"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GUARANTY AGREEMENT</dc:title>
  <dc:creator>LAW.PH</dc:creator>
  <dc:description>Free sample of the Guaranty Agreement from LAW.PH, with fictional details</dc:description>
  <cp:lastModifiedBy>Un-named</cp:lastModifiedBy>
  <cp:revision>1</cp:revision>
  <dcterms:created xsi:type="dcterms:W3CDTF">2026-10-02T05:29:57.828Z</dcterms:created>
  <dcterms:modified xsi:type="dcterms:W3CDTF">2026-10-02T05:29:57.828Z</dcterms:modified>
</cp:coreProperties>
</file>

<file path=docProps/custom.xml><?xml version="1.0" encoding="utf-8"?>
<Properties xmlns="http://schemas.openxmlformats.org/officeDocument/2006/custom-properties" xmlns:vt="http://schemas.openxmlformats.org/officeDocument/2006/docPropsVTypes"/>
</file>