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INDEPENDENT CONTRACTOR AGREEMENT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Independent Contractor Agreement (the “Agreement”) is made on August 31, 2026 between Sampaguita Labs, Inc., a corporation with address at 100 Ayala Avenue, Makati City 1226, as “Client,” and Juan Dela Cruz, of legal age, doing business under the name and style “JDC Analytics Studio”, with address at 20 Kalayaan Avenue, Quezon City 1100, as “Provider.” The engagement is known as “Finance reporting implementation.”</w:t>
      </w:r>
    </w:p>
    <w:p>
      <w:pPr>
        <w:keepLines/>
        <w:spacing w:after="120" w:line="264"/>
        <w:jc w:val="both"/>
      </w:pPr>
      <w:r>
        <w:rPr>
          <w:rFonts w:ascii="Calibri" w:cs="Calibri" w:eastAsia="Calibri" w:hAnsi="Calibri"/>
          <w:sz w:val="22"/>
          <w:szCs w:val="22"/>
        </w:rPr>
        <w:t xml:space="preserve">The parties agree that lawful mandatory rules and the actual facts prevail over any inconsistent label or provision in this Agreement.</w:t>
      </w:r>
    </w:p>
    <w:p>
      <w:pPr>
        <w:pStyle w:val="Heading2"/>
        <w:keepNext/>
        <w:spacing w:after="120" w:before="240"/>
      </w:pPr>
      <w:r>
        <w:rPr>
          <w:rFonts w:ascii="Calibri" w:cs="Calibri" w:eastAsia="Calibri" w:hAnsi="Calibri"/>
          <w:b/>
          <w:bCs/>
          <w:color w:val="102B3F"/>
          <w:sz w:val="26"/>
          <w:szCs w:val="26"/>
        </w:rPr>
        <w:t xml:space="preserve">1. Services and deliverables</w:t>
      </w:r>
    </w:p>
    <w:p>
      <w:pPr>
        <w:keepLines/>
        <w:spacing w:after="120" w:line="264"/>
        <w:jc w:val="both"/>
      </w:pPr>
      <w:r>
        <w:rPr>
          <w:rFonts w:ascii="Calibri" w:cs="Calibri" w:eastAsia="Calibri" w:hAnsi="Calibri"/>
          <w:sz w:val="22"/>
          <w:szCs w:val="22"/>
        </w:rPr>
        <w:t xml:space="preserve">The Provider shall perform these services: Design, configure, test, and document the agreed financial reporting workflows while controlling the professional method and work sequence. The Provider shall deliver: Configured reporting workspace, tested report set, administrator guide, training session, and final implementation record.</w:t>
      </w:r>
    </w:p>
    <w:p>
      <w:pPr>
        <w:keepLines/>
        <w:spacing w:after="120" w:line="264"/>
        <w:jc w:val="both"/>
      </w:pPr>
      <w:r>
        <w:rPr>
          <w:rFonts w:ascii="Calibri" w:cs="Calibri" w:eastAsia="Calibri" w:hAnsi="Calibri"/>
          <w:sz w:val="22"/>
          <w:szCs w:val="22"/>
        </w:rPr>
        <w:t xml:space="preserve">The planned schedule is: Configuration by September 30, testing by October 15, and final implementation record by October 31, 2026. A delay caused by an unmet documented Client dependency extends affected dates only to the reasonable extent actually caused, after prompt notice and mitigation by the Provider.</w:t>
      </w:r>
    </w:p>
    <w:p>
      <w:pPr>
        <w:pStyle w:val="Heading2"/>
        <w:keepNext/>
        <w:spacing w:after="120" w:before="240"/>
      </w:pPr>
      <w:r>
        <w:rPr>
          <w:rFonts w:ascii="Calibri" w:cs="Calibri" w:eastAsia="Calibri" w:hAnsi="Calibri"/>
          <w:b/>
          <w:bCs/>
          <w:color w:val="102B3F"/>
          <w:sz w:val="26"/>
          <w:szCs w:val="26"/>
        </w:rPr>
        <w:t xml:space="preserve">2. Standard of performance and coordination</w:t>
      </w:r>
    </w:p>
    <w:p>
      <w:pPr>
        <w:keepLines/>
        <w:spacing w:after="120" w:line="264"/>
        <w:jc w:val="both"/>
      </w:pPr>
      <w:r>
        <w:rPr>
          <w:rFonts w:ascii="Calibri" w:cs="Calibri" w:eastAsia="Calibri" w:hAnsi="Calibri"/>
          <w:sz w:val="22"/>
          <w:szCs w:val="22"/>
        </w:rPr>
        <w:t xml:space="preserve">The Provider shall perform with the reasonable skill, care, diligence, security, and professional standards ordinarily expected for the stated Services; comply with applicable law; use qualified personnel; promptly disclose material blockers; and avoid knowingly infringing third-party rights. The Client shall give timely instructions, access, content, approvals, and decisions within its responsibility.</w:t>
      </w:r>
    </w:p>
    <w:p>
      <w:pPr>
        <w:keepLines/>
        <w:spacing w:after="120" w:line="264"/>
        <w:jc w:val="both"/>
      </w:pPr>
      <w:r>
        <w:rPr>
          <w:rFonts w:ascii="Calibri" w:cs="Calibri" w:eastAsia="Calibri" w:hAnsi="Calibri"/>
          <w:sz w:val="22"/>
          <w:szCs w:val="22"/>
        </w:rPr>
        <w:t xml:space="preserve">The Client may define required outcomes, specifications, security controls, deadlines, and coordination points. Except where law, safety, or system access reasonably requires otherwise, the Provider controls the manner and means of performing the Services and remains responsible for sequencing, staffing, and professional judgment.</w:t>
      </w:r>
    </w:p>
    <w:p>
      <w:pPr>
        <w:pStyle w:val="Heading2"/>
        <w:keepNext/>
        <w:spacing w:after="120" w:before="240"/>
      </w:pPr>
      <w:r>
        <w:rPr>
          <w:rFonts w:ascii="Calibri" w:cs="Calibri" w:eastAsia="Calibri" w:hAnsi="Calibri"/>
          <w:b/>
          <w:bCs/>
          <w:color w:val="102B3F"/>
          <w:sz w:val="26"/>
          <w:szCs w:val="26"/>
        </w:rPr>
        <w:t xml:space="preserve">3. Acceptance and corrections</w:t>
      </w:r>
    </w:p>
    <w:p>
      <w:pPr>
        <w:keepLines/>
        <w:spacing w:after="120" w:line="264"/>
        <w:jc w:val="both"/>
      </w:pPr>
      <w:r>
        <w:rPr>
          <w:rFonts w:ascii="Calibri" w:cs="Calibri" w:eastAsia="Calibri" w:hAnsi="Calibri"/>
          <w:sz w:val="22"/>
          <w:szCs w:val="22"/>
        </w:rPr>
        <w:t xml:space="preserve">The Client shall review each submitted Deliverable against these criteria: Deliverables materially conform to the written specifications and acceptance tests stated in the approved scope. Within 7 calendar days after documented delivery, the Client shall accept it or give one consolidated written notice identifying material nonconformities with enough detail for correction. Silence does not waive a latent defect, fraud, or a right that cannot lawfully be waived, but the Deliverable is deemed accepted for ordinary billing and scheduling if no timely notice is given. The Provider shall correct verified nonconformities without additional fee. 2 revision rounds are included for preference changes within the original scope.</w:t>
      </w:r>
    </w:p>
    <w:p>
      <w:pPr>
        <w:keepLines/>
        <w:spacing w:after="120" w:line="264"/>
        <w:jc w:val="both"/>
      </w:pPr>
      <w:r>
        <w:rPr>
          <w:rFonts w:ascii="Calibri" w:cs="Calibri" w:eastAsia="Calibri" w:hAnsi="Calibri"/>
          <w:sz w:val="22"/>
          <w:szCs w:val="22"/>
        </w:rPr>
        <w:t xml:space="preserve">A request that changes an approved requirement, deliverable, assumption, dependency, volume, revision allowance, or schedule is a change request rather than correction of a nonconformity.</w:t>
      </w:r>
    </w:p>
    <w:p>
      <w:pPr>
        <w:pStyle w:val="Heading2"/>
        <w:keepNext/>
        <w:spacing w:after="120" w:before="240"/>
      </w:pPr>
      <w:r>
        <w:rPr>
          <w:rFonts w:ascii="Calibri" w:cs="Calibri" w:eastAsia="Calibri" w:hAnsi="Calibri"/>
          <w:b/>
          <w:bCs/>
          <w:color w:val="102B3F"/>
          <w:sz w:val="26"/>
          <w:szCs w:val="26"/>
        </w:rPr>
        <w:t xml:space="preserve">4. Change control</w:t>
      </w:r>
    </w:p>
    <w:p>
      <w:pPr>
        <w:keepLines/>
        <w:spacing w:after="120" w:line="264"/>
        <w:jc w:val="both"/>
      </w:pPr>
      <w:r>
        <w:rPr>
          <w:rFonts w:ascii="Calibri" w:cs="Calibri" w:eastAsia="Calibri" w:hAnsi="Calibri"/>
          <w:sz w:val="22"/>
          <w:szCs w:val="22"/>
        </w:rPr>
        <w:t xml:space="preserve">A change becomes binding only through a written change order accepted by both parties that describes the changed scope, deliverables, assumptions, fee, taxes, schedule, acceptance, and other affected terms.</w:t>
      </w:r>
    </w:p>
    <w:p>
      <w:pPr>
        <w:keepLines/>
        <w:spacing w:after="120" w:line="264"/>
        <w:jc w:val="both"/>
      </w:pPr>
      <w:r>
        <w:rPr>
          <w:rFonts w:ascii="Calibri" w:cs="Calibri" w:eastAsia="Calibri" w:hAnsi="Calibri"/>
          <w:sz w:val="22"/>
          <w:szCs w:val="22"/>
        </w:rPr>
        <w:t xml:space="preserve">Until a change is approved, each party shall continue the unaffected work where reasonably practicable. Neither party is required to perform disputed additional work without an agreed basis for payment and timing.</w:t>
      </w:r>
    </w:p>
    <w:p>
      <w:pPr>
        <w:pStyle w:val="Heading2"/>
        <w:keepNext/>
        <w:spacing w:after="120" w:before="240"/>
      </w:pPr>
      <w:r>
        <w:rPr>
          <w:rFonts w:ascii="Calibri" w:cs="Calibri" w:eastAsia="Calibri" w:hAnsi="Calibri"/>
          <w:b/>
          <w:bCs/>
          <w:color w:val="102B3F"/>
          <w:sz w:val="26"/>
          <w:szCs w:val="26"/>
        </w:rPr>
        <w:t xml:space="preserve">5. Fees, invoices, taxes, and expenses</w:t>
      </w:r>
    </w:p>
    <w:p>
      <w:pPr>
        <w:keepLines/>
        <w:spacing w:after="120" w:line="264"/>
        <w:jc w:val="both"/>
      </w:pPr>
      <w:r>
        <w:rPr>
          <w:rFonts w:ascii="Calibri" w:cs="Calibri" w:eastAsia="Calibri" w:hAnsi="Calibri"/>
          <w:sz w:val="22"/>
          <w:szCs w:val="22"/>
        </w:rPr>
        <w:t xml:space="preserve">The agreed fixed project fee is ₱50,000.00, exclusive of applicable VAT. The billing schedule is: 50% upon signing and 50% upon acceptance of the final deliverables.</w:t>
      </w:r>
    </w:p>
    <w:p>
      <w:pPr>
        <w:keepLines/>
        <w:spacing w:after="120" w:line="264"/>
        <w:jc w:val="both"/>
      </w:pPr>
      <w:r>
        <w:rPr>
          <w:rFonts w:ascii="Calibri" w:cs="Calibri" w:eastAsia="Calibri" w:hAnsi="Calibri"/>
          <w:sz w:val="22"/>
          <w:szCs w:val="22"/>
        </w:rPr>
        <w:t xml:space="preserve">The Client shall pay each accurate, valid, and undisputed invoice within 15 calendar days after receipt by bank transfer to the account stated on the Provider's valid invoice. The Client may withhold and remit taxes only as required by law and shall give the Provider the corresponding certificate or evidence. The parties shall confirm VAT, withholding, invoicing, and registration treatment using their actual tax status; this Agreement does not itself establish that status.</w:t>
      </w:r>
    </w:p>
    <w:p>
      <w:pPr>
        <w:keepLines/>
        <w:spacing w:after="120" w:line="264"/>
        <w:jc w:val="both"/>
      </w:pPr>
      <w:r>
        <w:rPr>
          <w:rFonts w:ascii="Calibri" w:cs="Calibri" w:eastAsia="Calibri" w:hAnsi="Calibri"/>
          <w:sz w:val="22"/>
          <w:szCs w:val="22"/>
        </w:rPr>
        <w:t xml:space="preserve">Only reasonable third-party expenses approved by the Client in writing before they are incurred and supported by receipts. Any reimbursable amount must be reasonable, actually incurred for the Services, and documented.</w:t>
      </w:r>
    </w:p>
    <w:p>
      <w:pPr>
        <w:keepLines/>
        <w:spacing w:after="120" w:line="264"/>
        <w:jc w:val="both"/>
      </w:pPr>
      <w:r>
        <w:rPr>
          <w:rFonts w:ascii="Calibri" w:cs="Calibri" w:eastAsia="Calibri" w:hAnsi="Calibri"/>
          <w:sz w:val="22"/>
          <w:szCs w:val="22"/>
        </w:rPr>
        <w:t xml:space="preserve">A specific undisputed amount not paid when due bears simple interest at 6% per year from written demand until payment, subject to mandatory law and equitable reduction if the rate or resulting charge is unconscionable. Interest does not accrue on a good-faith disputed amount while the parties promptly work to resolve it.</w:t>
      </w:r>
    </w:p>
    <w:p>
      <w:pPr>
        <w:pStyle w:val="Heading2"/>
        <w:keepNext/>
        <w:spacing w:after="120" w:before="240"/>
      </w:pPr>
      <w:r>
        <w:rPr>
          <w:rFonts w:ascii="Calibri" w:cs="Calibri" w:eastAsia="Calibri" w:hAnsi="Calibri"/>
          <w:b/>
          <w:bCs/>
          <w:color w:val="102B3F"/>
          <w:sz w:val="26"/>
          <w:szCs w:val="26"/>
        </w:rPr>
        <w:t xml:space="preserve">6. Independent relationship and classification</w:t>
      </w:r>
    </w:p>
    <w:p>
      <w:pPr>
        <w:keepLines/>
        <w:spacing w:after="120" w:line="264"/>
        <w:jc w:val="both"/>
      </w:pPr>
      <w:r>
        <w:rPr>
          <w:rFonts w:ascii="Calibri" w:cs="Calibri" w:eastAsia="Calibri" w:hAnsi="Calibri"/>
          <w:sz w:val="22"/>
          <w:szCs w:val="22"/>
        </w:rPr>
        <w:t xml:space="preserve">The Provider is engaged as an independent contractor and not as the Client's employee, partner, or general agent. The Provider has no authority to bind the Client except through specific written authority. The Provider controls the manner and means of work, may serve others subject to confidentiality and conflicts, supplies its business organization, invoices for Services, and is responsible for its registrations, personnel, taxes, insurance, and statutory obligations.</w:t>
      </w:r>
    </w:p>
    <w:p>
      <w:pPr>
        <w:keepLines/>
        <w:spacing w:after="120" w:line="264"/>
        <w:jc w:val="both"/>
      </w:pPr>
      <w:r>
        <w:rPr>
          <w:rFonts w:ascii="Calibri" w:cs="Calibri" w:eastAsia="Calibri" w:hAnsi="Calibri"/>
          <w:sz w:val="22"/>
          <w:szCs w:val="22"/>
        </w:rPr>
        <w:t xml:space="preserve">The Provider represents that it is registered with the Bureau of Internal Revenue under its own Taxpayer Identification Number and will issue a registered invoice for each billing; that it is responsible for its own applicable SSS, PhilHealth, and Pag-IBIG registrations and contributions as a self-employed person; and that it will pay its own taxes. The Client shall withhold creditable withholding tax only where the law requires it and shall then give the Provider the corresponding certificate (BIR Form 2307).</w:t>
      </w:r>
    </w:p>
    <w:p>
      <w:pPr>
        <w:keepLines/>
        <w:spacing w:after="120" w:line="264"/>
        <w:jc w:val="both"/>
      </w:pPr>
      <w:r>
        <w:rPr>
          <w:rFonts w:ascii="Calibri" w:cs="Calibri" w:eastAsia="Calibri" w:hAnsi="Calibri"/>
          <w:sz w:val="22"/>
          <w:szCs w:val="22"/>
        </w:rPr>
        <w:t xml:space="preserve">No contractual label waives rights or duties arising from an employer-employee relationship, labor-only contracting, tax law, social-protection law, or another mandatory classification if the actual facts establish it.</w:t>
      </w:r>
    </w:p>
    <w:p>
      <w:pPr>
        <w:pStyle w:val="Heading2"/>
        <w:keepNext/>
        <w:spacing w:after="120" w:before="240"/>
      </w:pPr>
      <w:r>
        <w:rPr>
          <w:rFonts w:ascii="Calibri" w:cs="Calibri" w:eastAsia="Calibri" w:hAnsi="Calibri"/>
          <w:b/>
          <w:bCs/>
          <w:color w:val="102B3F"/>
          <w:sz w:val="26"/>
          <w:szCs w:val="26"/>
        </w:rPr>
        <w:t xml:space="preserve">7. Confidential information</w:t>
      </w:r>
    </w:p>
    <w:p>
      <w:pPr>
        <w:keepLines/>
        <w:spacing w:after="120" w:line="264"/>
        <w:jc w:val="both"/>
      </w:pPr>
      <w:r>
        <w:rPr>
          <w:rFonts w:ascii="Calibri" w:cs="Calibri" w:eastAsia="Calibri" w:hAnsi="Calibri"/>
          <w:sz w:val="22"/>
          <w:szCs w:val="22"/>
        </w:rPr>
        <w:t xml:space="preserve">Each party may receive non-public information including business plans, operations, strategies, and internal policies; pricing, budgets, financial records, and forecasts; customer, prospect, supplier, and partner information. “Confidential Information” excludes information the receiving party can show was lawfully known without duty, becomes public without breach, is lawfully received from another source without duty, or is independently developed without use of protected information.</w:t>
      </w:r>
    </w:p>
    <w:p>
      <w:pPr>
        <w:keepLines/>
        <w:spacing w:after="120" w:line="264"/>
        <w:jc w:val="both"/>
      </w:pPr>
      <w:r>
        <w:rPr>
          <w:rFonts w:ascii="Calibri" w:cs="Calibri" w:eastAsia="Calibri" w:hAnsi="Calibri"/>
          <w:sz w:val="22"/>
          <w:szCs w:val="22"/>
        </w:rPr>
        <w:t xml:space="preserve">A receiving party shall use Confidential Information only for this engagement, disclose it only to authorized personnel and approved subcontractors with a need to know and equivalent duties, apply at least reasonable care and agreed safeguards, and promptly report suspected unauthorized access or disclosure. A legally compelled disclosure shall be limited to what is required and, where lawful, preceded by prompt notice and reasonable cooperation on protective treatment.</w:t>
      </w:r>
    </w:p>
    <w:p>
      <w:pPr>
        <w:pStyle w:val="Heading2"/>
        <w:keepNext/>
        <w:spacing w:after="120" w:before="240"/>
      </w:pPr>
      <w:r>
        <w:rPr>
          <w:rFonts w:ascii="Calibri" w:cs="Calibri" w:eastAsia="Calibri" w:hAnsi="Calibri"/>
          <w:b/>
          <w:bCs/>
          <w:color w:val="102B3F"/>
          <w:sz w:val="26"/>
          <w:szCs w:val="26"/>
        </w:rPr>
        <w:t xml:space="preserve">8. Intellectual property</w:t>
      </w:r>
    </w:p>
    <w:p>
      <w:pPr>
        <w:keepLines/>
        <w:spacing w:after="120" w:line="264"/>
        <w:jc w:val="both"/>
      </w:pPr>
      <w:r>
        <w:rPr>
          <w:rFonts w:ascii="Calibri" w:cs="Calibri" w:eastAsia="Calibri" w:hAnsi="Calibri"/>
          <w:sz w:val="22"/>
          <w:szCs w:val="22"/>
        </w:rPr>
        <w:t xml:space="preserve">Upon the Provider's receipt of all amounts due for a Deliverable, the Provider assigns to the Client the transferable copyright and other transferable intellectual-property rights created specifically as that Deliverable under this Agreement, to the extent owned by the Provider and permitted by law. The assignment is a written indication of intent under Republic Act No. 8293. Moral rights and non-transferable rights are treated according to law. Before full payment, the Client receives a revocable, non-exclusive license solely to review and test the Deliverable.</w:t>
      </w:r>
    </w:p>
    <w:p>
      <w:pPr>
        <w:keepLines/>
        <w:spacing w:after="120" w:line="264"/>
        <w:jc w:val="both"/>
      </w:pPr>
      <w:r>
        <w:rPr>
          <w:rFonts w:ascii="Calibri" w:cs="Calibri" w:eastAsia="Calibri" w:hAnsi="Calibri"/>
          <w:sz w:val="22"/>
          <w:szCs w:val="22"/>
        </w:rPr>
        <w:t xml:space="preserve">Background tools, templates, methods, libraries, know-how, and material developed outside this engagement remain with their existing owner. To the extent embedded background material is necessary to use a paid Deliverable, the Provider grants the Client a perpetual, worldwide, royalty-free, non-exclusive license to use, reproduce, modify, and distribute that embedded material only as part of or to support the Deliverable, unless an identified third-party license states otherwise.</w:t>
      </w:r>
    </w:p>
    <w:p>
      <w:pPr>
        <w:keepLines/>
        <w:spacing w:after="120" w:line="264"/>
        <w:jc w:val="both"/>
      </w:pPr>
      <w:r>
        <w:rPr>
          <w:rFonts w:ascii="Calibri" w:cs="Calibri" w:eastAsia="Calibri" w:hAnsi="Calibri"/>
          <w:sz w:val="22"/>
          <w:szCs w:val="22"/>
        </w:rPr>
        <w:t xml:space="preserve">The Provider shall identify material third-party components and applicable license conditions before delivery. No party transfers a third party's rights. Each creator's moral rights, attribution, integrity, waiver, or consent are governed by the IP Code and any legally effective separate instrument.</w:t>
      </w:r>
    </w:p>
    <w:p>
      <w:pPr>
        <w:pStyle w:val="Heading2"/>
        <w:keepNext/>
        <w:spacing w:after="120" w:before="240"/>
      </w:pPr>
      <w:r>
        <w:rPr>
          <w:rFonts w:ascii="Calibri" w:cs="Calibri" w:eastAsia="Calibri" w:hAnsi="Calibri"/>
          <w:b/>
          <w:bCs/>
          <w:color w:val="102B3F"/>
          <w:sz w:val="26"/>
          <w:szCs w:val="26"/>
        </w:rPr>
        <w:t xml:space="preserve">9. Personal data and information security</w:t>
      </w:r>
    </w:p>
    <w:p>
      <w:pPr>
        <w:keepLines/>
        <w:spacing w:after="120" w:line="264"/>
        <w:jc w:val="both"/>
      </w:pPr>
      <w:r>
        <w:rPr>
          <w:rFonts w:ascii="Calibri" w:cs="Calibri" w:eastAsia="Calibri" w:hAnsi="Calibri"/>
          <w:sz w:val="22"/>
          <w:szCs w:val="22"/>
        </w:rPr>
        <w:t xml:space="preserve">The Provider will process personal data on the Client's documented lawful instructions as a personal information processor. Before processing begins, the parties shall execute or incorporate data-processing terms that state subject matter, duration, nature, purpose, data types, data-subject categories, instructions, confidentiality, security, subprocessors, rights assistance, breach handling, return or deletion, audit, and cross-border arrangements. This Agreement alone is not the complete processing instruction.</w:t>
      </w:r>
    </w:p>
    <w:p>
      <w:pPr>
        <w:keepLines/>
        <w:spacing w:after="120" w:line="264"/>
        <w:jc w:val="both"/>
      </w:pPr>
      <w:r>
        <w:rPr>
          <w:rFonts w:ascii="Calibri" w:cs="Calibri" w:eastAsia="Calibri" w:hAnsi="Calibri"/>
          <w:sz w:val="22"/>
          <w:szCs w:val="22"/>
        </w:rPr>
        <w:t xml:space="preserve">Each party remains accountable for the personal data under its control and shall implement reasonable and appropriate organizational, physical, and technical safeguards, limit access, retain data only as justified, and notify the other promptly of a security incident materially affecting the engagement.</w:t>
      </w:r>
    </w:p>
    <w:p>
      <w:pPr>
        <w:pStyle w:val="Heading2"/>
        <w:keepNext/>
        <w:spacing w:after="120" w:before="240"/>
      </w:pPr>
      <w:r>
        <w:rPr>
          <w:rFonts w:ascii="Calibri" w:cs="Calibri" w:eastAsia="Calibri" w:hAnsi="Calibri"/>
          <w:b/>
          <w:bCs/>
          <w:color w:val="102B3F"/>
          <w:sz w:val="26"/>
          <w:szCs w:val="26"/>
        </w:rPr>
        <w:t xml:space="preserve">10. Subcontractors</w:t>
      </w:r>
    </w:p>
    <w:p>
      <w:pPr>
        <w:keepLines/>
        <w:spacing w:after="120" w:line="264"/>
        <w:jc w:val="both"/>
      </w:pPr>
      <w:r>
        <w:rPr>
          <w:rFonts w:ascii="Calibri" w:cs="Calibri" w:eastAsia="Calibri" w:hAnsi="Calibri"/>
          <w:sz w:val="22"/>
          <w:szCs w:val="22"/>
        </w:rPr>
        <w:t xml:space="preserve">The Provider shall not engage a subcontractor for a material part of the Services without the Client's prior written consent, which shall not unreasonably be withheld where the Provider supplies qualifications, scope, location, security, and privacy information.</w:t>
      </w:r>
    </w:p>
    <w:p>
      <w:pPr>
        <w:keepLines/>
        <w:spacing w:after="120" w:line="264"/>
        <w:jc w:val="both"/>
      </w:pPr>
      <w:r>
        <w:rPr>
          <w:rFonts w:ascii="Calibri" w:cs="Calibri" w:eastAsia="Calibri" w:hAnsi="Calibri"/>
          <w:sz w:val="22"/>
          <w:szCs w:val="22"/>
        </w:rPr>
        <w:t xml:space="preserve">The Provider remains responsible for subcontracted performance, payment, supervision, confidentiality, security, IP chain of title, and compliance as if the Provider performed the work directly. Approval does not create a contract between the Client and subcontractor or relieve the Provider of an obligation.</w:t>
      </w:r>
    </w:p>
    <w:p>
      <w:pPr>
        <w:pStyle w:val="Heading2"/>
        <w:keepNext/>
        <w:spacing w:after="120" w:before="240"/>
      </w:pPr>
      <w:r>
        <w:rPr>
          <w:rFonts w:ascii="Calibri" w:cs="Calibri" w:eastAsia="Calibri" w:hAnsi="Calibri"/>
          <w:b/>
          <w:bCs/>
          <w:color w:val="102B3F"/>
          <w:sz w:val="26"/>
          <w:szCs w:val="26"/>
        </w:rPr>
        <w:t xml:space="preserve">11. Warranties and remedies</w:t>
      </w:r>
    </w:p>
    <w:p>
      <w:pPr>
        <w:keepLines/>
        <w:spacing w:after="120" w:line="264"/>
        <w:jc w:val="both"/>
      </w:pPr>
      <w:r>
        <w:rPr>
          <w:rFonts w:ascii="Calibri" w:cs="Calibri" w:eastAsia="Calibri" w:hAnsi="Calibri"/>
          <w:sz w:val="22"/>
          <w:szCs w:val="22"/>
        </w:rPr>
        <w:t xml:space="preserve">Each party warrants that it has authority to sign and perform this Agreement. The Provider warrants that Services will materially conform to the agreed scope and professional standard, and that it will not knowingly deliver material that infringes a third party's rights. The Client warrants that it has rights and lawful authority for materials, instructions, access, and data it supplies.</w:t>
      </w:r>
    </w:p>
    <w:p>
      <w:pPr>
        <w:keepLines/>
        <w:spacing w:after="120" w:line="264"/>
        <w:jc w:val="both"/>
      </w:pPr>
      <w:r>
        <w:rPr>
          <w:rFonts w:ascii="Calibri" w:cs="Calibri" w:eastAsia="Calibri" w:hAnsi="Calibri"/>
          <w:sz w:val="22"/>
          <w:szCs w:val="22"/>
        </w:rPr>
        <w:t xml:space="preserve">For a remediable nonconformity reported under the acceptance or warranty process, the Provider's first remedy is prompt re-performance, correction, or replacement without additional fee. If that remedy fails after a reasonable opportunity, the Client may reject the affected Deliverable and recover the fee reasonably allocated to it, without limiting a remedy that cannot lawfully be excluded. No party guarantees a business, revenue, regulatory, or market result not expressly stated as an objective Deliverable.</w:t>
      </w:r>
    </w:p>
    <w:p>
      <w:pPr>
        <w:pStyle w:val="Heading2"/>
        <w:keepNext/>
        <w:spacing w:after="120" w:before="240"/>
      </w:pPr>
      <w:r>
        <w:rPr>
          <w:rFonts w:ascii="Calibri" w:cs="Calibri" w:eastAsia="Calibri" w:hAnsi="Calibri"/>
          <w:b/>
          <w:bCs/>
          <w:color w:val="102B3F"/>
          <w:sz w:val="26"/>
          <w:szCs w:val="26"/>
        </w:rPr>
        <w:t xml:space="preserve">12. Term and termination</w:t>
      </w:r>
    </w:p>
    <w:p>
      <w:pPr>
        <w:keepLines/>
        <w:spacing w:after="120" w:line="264"/>
        <w:jc w:val="both"/>
      </w:pPr>
      <w:r>
        <w:rPr>
          <w:rFonts w:ascii="Calibri" w:cs="Calibri" w:eastAsia="Calibri" w:hAnsi="Calibri"/>
          <w:sz w:val="22"/>
          <w:szCs w:val="22"/>
        </w:rPr>
        <w:t xml:space="preserve">This Agreement continues from September 5, 2026 until completion and acceptance of the Services and final settlement, unless earlier terminated. Either party may terminate for a material breach that remains uncured 10 calendar days after a written notice describing the breach and required cure. A party may terminate immediately for a breach that cannot reasonably be cured, fraud, unlawful conduct material to the engagement, insolvency affecting performance, or a serious confidentiality, security, or intellectual-property breach, subject to mandatory law.</w:t>
      </w:r>
    </w:p>
    <w:p>
      <w:pPr>
        <w:keepLines/>
        <w:spacing w:after="120" w:line="264"/>
        <w:jc w:val="both"/>
      </w:pPr>
      <w:r>
        <w:rPr>
          <w:rFonts w:ascii="Calibri" w:cs="Calibri" w:eastAsia="Calibri" w:hAnsi="Calibri"/>
          <w:sz w:val="22"/>
          <w:szCs w:val="22"/>
        </w:rPr>
        <w:t xml:space="preserve">Either party may terminate without cause on 30 calendar days' written notice. The Provider shall stop affected work as reasonably directed, mitigate avoidable cost, and deliver paid-for work in progress. The Client shall pay for conforming Services performed and non-cancellable approved commitments through the effective date, less prior payments and reasonable credits.</w:t>
      </w:r>
    </w:p>
    <w:p>
      <w:pPr>
        <w:keepLines/>
        <w:spacing w:after="120" w:line="264"/>
        <w:jc w:val="both"/>
      </w:pPr>
      <w:r>
        <w:rPr>
          <w:rFonts w:ascii="Calibri" w:cs="Calibri" w:eastAsia="Calibri" w:hAnsi="Calibri"/>
          <w:sz w:val="22"/>
          <w:szCs w:val="22"/>
        </w:rPr>
        <w:t xml:space="preserve">On expiry or termination, accrued payment, confidentiality, data protection, IP, records, dispute, and any term intended by its nature to survive remain effective. Each party shall return or securely dispose of the other's property and Confidential Information as directed, subject to lawful retention and inaccessible routine backups.</w:t>
      </w:r>
    </w:p>
    <w:p>
      <w:pPr>
        <w:pStyle w:val="Heading2"/>
        <w:keepNext/>
        <w:spacing w:after="120" w:before="240"/>
      </w:pPr>
      <w:r>
        <w:rPr>
          <w:rFonts w:ascii="Calibri" w:cs="Calibri" w:eastAsia="Calibri" w:hAnsi="Calibri"/>
          <w:b/>
          <w:bCs/>
          <w:color w:val="102B3F"/>
          <w:sz w:val="26"/>
          <w:szCs w:val="26"/>
        </w:rPr>
        <w:t xml:space="preserve">13. Liability allocation</w:t>
      </w:r>
    </w:p>
    <w:p>
      <w:pPr>
        <w:keepLines/>
        <w:spacing w:after="120" w:line="264"/>
        <w:jc w:val="both"/>
      </w:pPr>
      <w:r>
        <w:rPr>
          <w:rFonts w:ascii="Calibri" w:cs="Calibri" w:eastAsia="Calibri" w:hAnsi="Calibri"/>
          <w:sz w:val="22"/>
          <w:szCs w:val="22"/>
        </w:rPr>
        <w:t xml:space="preserve">For ordinary breach, each party's aggregate contractual liability is capped at the fees paid or payable under this Agreement during the twelve months preceding the event giving rise to liability. The cap does not apply to payment obligations, fraud, willful misconduct, liability that cannot lawfully be limited, or misuse of the other party's Confidential Information, personal data, or intellectual property to the extent exclusion would be invalid or contrary to public policy.</w:t>
      </w:r>
    </w:p>
    <w:p>
      <w:pPr>
        <w:keepLines/>
        <w:spacing w:after="120" w:line="264"/>
        <w:jc w:val="both"/>
      </w:pPr>
      <w:r>
        <w:rPr>
          <w:rFonts w:ascii="Calibri" w:cs="Calibri" w:eastAsia="Calibri" w:hAnsi="Calibri"/>
          <w:sz w:val="22"/>
          <w:szCs w:val="22"/>
        </w:rPr>
        <w:t xml:space="preserve">Neither party is liable for an indirect, remote, speculative, or avoidable loss beyond what applicable law permits and the parties reasonably contemplated when contracting. A party claiming loss shall take reasonable steps to mitigate it. Nothing waives liability for future fraud or another waiver prohibited by law.</w:t>
      </w:r>
    </w:p>
    <w:p>
      <w:pPr>
        <w:pStyle w:val="Heading2"/>
        <w:keepNext/>
        <w:spacing w:after="120" w:before="240"/>
      </w:pPr>
      <w:r>
        <w:rPr>
          <w:rFonts w:ascii="Calibri" w:cs="Calibri" w:eastAsia="Calibri" w:hAnsi="Calibri"/>
          <w:b/>
          <w:bCs/>
          <w:color w:val="102B3F"/>
          <w:sz w:val="26"/>
          <w:szCs w:val="26"/>
        </w:rPr>
        <w:t xml:space="preserve">14. Notices</w:t>
      </w:r>
    </w:p>
    <w:p>
      <w:pPr>
        <w:keepLines/>
        <w:spacing w:after="120" w:line="264"/>
        <w:jc w:val="both"/>
      </w:pPr>
      <w:r>
        <w:rPr>
          <w:rFonts w:ascii="Calibri" w:cs="Calibri" w:eastAsia="Calibri" w:hAnsi="Calibri"/>
          <w:sz w:val="22"/>
          <w:szCs w:val="22"/>
        </w:rPr>
        <w:t xml:space="preserve">Notices shall be in writing and delivered personally, by reputable courier, or by email with evidence of transmission. Notices to the Client shall be sent to 100 Ayala Avenue, Makati City 1226; notices to the Provider shall be sent to 20 Kalayaan Avenue, Quezon City 1100, or to replacement contact details designated in writing. A notice is effective upon documented receipt.</w:t>
      </w:r>
    </w:p>
    <w:p>
      <w:pPr>
        <w:pStyle w:val="Heading2"/>
        <w:keepNext/>
        <w:spacing w:after="120" w:before="240"/>
      </w:pPr>
      <w:r>
        <w:rPr>
          <w:rFonts w:ascii="Calibri" w:cs="Calibri" w:eastAsia="Calibri" w:hAnsi="Calibri"/>
          <w:b/>
          <w:bCs/>
          <w:color w:val="102B3F"/>
          <w:sz w:val="26"/>
          <w:szCs w:val="26"/>
        </w:rPr>
        <w:t xml:space="preserve">15. Governing law and disputes</w:t>
      </w:r>
    </w:p>
    <w:p>
      <w:pPr>
        <w:keepLines/>
        <w:spacing w:after="120" w:line="264"/>
        <w:jc w:val="both"/>
      </w:pPr>
      <w:r>
        <w:rPr>
          <w:rFonts w:ascii="Calibri" w:cs="Calibri" w:eastAsia="Calibri" w:hAnsi="Calibri"/>
          <w:sz w:val="22"/>
          <w:szCs w:val="22"/>
        </w:rPr>
        <w:t xml:space="preserve">This Agreement is governed by the laws of the Republic of the Philippines. Before filing an ordinary civil action, senior representatives shall meet in good faith within ten calendar days after a written dispute notice, unless urgent provisional relief or a prescriptive period requires earlier action. Any action arising from or relating to this Agreement shall be filed exclusively in the proper courts of Makati City, to the exclusion of all other courts, without prejudice to barangay conciliation where the law requires it.</w:t>
      </w:r>
    </w:p>
    <w:p>
      <w:pPr>
        <w:pStyle w:val="Heading2"/>
        <w:keepNext/>
        <w:spacing w:after="120" w:before="240"/>
      </w:pPr>
      <w:r>
        <w:rPr>
          <w:rFonts w:ascii="Calibri" w:cs="Calibri" w:eastAsia="Calibri" w:hAnsi="Calibri"/>
          <w:b/>
          <w:bCs/>
          <w:color w:val="102B3F"/>
          <w:sz w:val="26"/>
          <w:szCs w:val="26"/>
        </w:rPr>
        <w:t xml:space="preserve">16. General terms</w:t>
      </w:r>
    </w:p>
    <w:p>
      <w:pPr>
        <w:keepLines/>
        <w:spacing w:after="120" w:line="264"/>
        <w:jc w:val="both"/>
      </w:pPr>
      <w:r>
        <w:rPr>
          <w:rFonts w:ascii="Calibri" w:cs="Calibri" w:eastAsia="Calibri" w:hAnsi="Calibri"/>
          <w:sz w:val="22"/>
          <w:szCs w:val="22"/>
        </w:rPr>
        <w:t xml:space="preserve">This Agreement and its signed schedules and change orders are the entire agreement on this engagement and supersede prior proposals on the same subject. An amendment or waiver must be in writing and signed by the affected parties. Neither party may assign the Agreement without the other's prior written consent, except to a successor in a merger or transfer of substantially all relevant business that assumes it in writing. If a provision is unenforceable, it shall be limited to the minimum lawful extent and the remainder continues.</w:t>
      </w:r>
    </w:p>
    <w:p>
      <w:pPr>
        <w:pStyle w:val="Heading2"/>
        <w:keepNext/>
        <w:spacing w:after="120" w:before="240"/>
      </w:pPr>
      <w:r>
        <w:rPr>
          <w:rFonts w:ascii="Calibri" w:cs="Calibri" w:eastAsia="Calibri" w:hAnsi="Calibri"/>
          <w:b/>
          <w:bCs/>
          <w:color w:val="102B3F"/>
          <w:sz w:val="26"/>
          <w:szCs w:val="26"/>
        </w:rPr>
        <w:t xml:space="preserve">17.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rules, a reliable electronic signature and electronic copy may satisfy writing and signature requirements. Each party shall retain the completed agreement and evidence of signer identity, intent, document integrity, and the signing event.</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Sampaguita Labs, Inc.</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By: Maria Santos, President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Provider · Owner and proprietor, doing business under the name and style “JDC Analytics Studio”, signing personally</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Verify each party's registered legal name, address, tax and invoicing status, and signatory authority. For a sole proprietorship, check the owner's name against the DTI business-name certificate; the owner signs personally.</w:t>
      </w:r>
    </w:p>
    <w:p>
      <w:pPr>
        <w:pStyle w:val="ListParagraph"/>
        <w:keepNext/>
        <w:numPr>
          <w:ilvl w:val="0"/>
          <w:numId w:val="1"/>
        </w:numPr>
        <w:spacing w:after="120" w:line="264"/>
      </w:pPr>
      <w:r>
        <w:rPr>
          <w:rFonts w:ascii="Calibri" w:cs="Calibri" w:eastAsia="Calibri" w:hAnsi="Calibri"/>
          <w:sz w:val="22"/>
          <w:szCs w:val="22"/>
        </w:rPr>
        <w:t xml:space="preserve">Retain evidence that the Provider controls methods, operates separately, may serve others, and invoices as an independent business. The actual relationship, not this agreement's label, decides classification under the four-fold and economic-dependence tests.</w:t>
      </w:r>
    </w:p>
    <w:p>
      <w:pPr>
        <w:pStyle w:val="ListParagraph"/>
        <w:keepNext/>
        <w:numPr>
          <w:ilvl w:val="0"/>
          <w:numId w:val="1"/>
        </w:numPr>
        <w:spacing w:after="120" w:line="264"/>
      </w:pPr>
      <w:r>
        <w:rPr>
          <w:rFonts w:ascii="Calibri" w:cs="Calibri" w:eastAsia="Calibri" w:hAnsi="Calibri"/>
          <w:sz w:val="22"/>
          <w:szCs w:val="22"/>
        </w:rPr>
        <w:t xml:space="preserve">For an individual contractor, confirm current BIR registration, TIN and registered name, the correct service invoice, applicable withholding and certificate, books and tax filings using the parties' actual status.</w:t>
      </w:r>
    </w:p>
    <w:p>
      <w:pPr>
        <w:pStyle w:val="ListParagraph"/>
        <w:keepNext/>
        <w:numPr>
          <w:ilvl w:val="0"/>
          <w:numId w:val="1"/>
        </w:numPr>
        <w:spacing w:after="120" w:line="264"/>
      </w:pPr>
      <w:r>
        <w:rPr>
          <w:rFonts w:ascii="Calibri" w:cs="Calibri" w:eastAsia="Calibri" w:hAnsi="Calibri"/>
          <w:sz w:val="22"/>
          <w:szCs w:val="22"/>
        </w:rPr>
        <w:t xml:space="preserve">Confirm the Provider's applicable self-employed SSS registration and contributions, business or professional permits, licensing, insurance, and any duties triggered by personnel engaged for the Services.</w:t>
      </w:r>
    </w:p>
    <w:p>
      <w:pPr>
        <w:pStyle w:val="ListParagraph"/>
        <w:keepNext/>
        <w:numPr>
          <w:ilvl w:val="0"/>
          <w:numId w:val="1"/>
        </w:numPr>
        <w:spacing w:after="120" w:line="264"/>
      </w:pPr>
      <w:r>
        <w:rPr>
          <w:rFonts w:ascii="Calibri" w:cs="Calibri" w:eastAsia="Calibri" w:hAnsi="Calibri"/>
          <w:sz w:val="22"/>
          <w:szCs w:val="22"/>
        </w:rPr>
        <w:t xml:space="preserve">Attach a signed scope or statement of work with specifications, milestones, dependencies, exclusions, acceptance tests, and a fee allocation that can be administered without guesswork.</w:t>
      </w:r>
    </w:p>
    <w:p>
      <w:pPr>
        <w:pStyle w:val="ListParagraph"/>
        <w:keepNext/>
        <w:numPr>
          <w:ilvl w:val="0"/>
          <w:numId w:val="1"/>
        </w:numPr>
        <w:spacing w:after="120" w:line="264"/>
      </w:pPr>
      <w:r>
        <w:rPr>
          <w:rFonts w:ascii="Calibri" w:cs="Calibri" w:eastAsia="Calibri" w:hAnsi="Calibri"/>
          <w:sz w:val="22"/>
          <w:szCs w:val="22"/>
        </w:rPr>
        <w:t xml:space="preserve">Confirm the Provider has written IP assignments from all creators and identify background and third-party material before delivery.</w:t>
      </w:r>
    </w:p>
    <w:p>
      <w:pPr>
        <w:pStyle w:val="ListParagraph"/>
        <w:keepNext/>
        <w:numPr>
          <w:ilvl w:val="0"/>
          <w:numId w:val="1"/>
        </w:numPr>
        <w:spacing w:after="120" w:line="264"/>
      </w:pPr>
      <w:r>
        <w:rPr>
          <w:rFonts w:ascii="Calibri" w:cs="Calibri" w:eastAsia="Calibri" w:hAnsi="Calibri"/>
          <w:sz w:val="22"/>
          <w:szCs w:val="22"/>
        </w:rPr>
        <w:t xml:space="preserve">Execute the required data-processing terms and validate lawful basis, notices, security, subprocessors, transfers, retention, rights, and breach workflow before data access.</w:t>
      </w:r>
    </w:p>
    <w:p>
      <w:pPr>
        <w:pStyle w:val="ListParagraph"/>
        <w:keepNext/>
        <w:numPr>
          <w:ilvl w:val="0"/>
          <w:numId w:val="1"/>
        </w:numPr>
        <w:spacing w:after="120" w:line="264"/>
      </w:pPr>
      <w:r>
        <w:rPr>
          <w:rFonts w:ascii="Calibri" w:cs="Calibri" w:eastAsia="Calibri" w:hAnsi="Calibri"/>
          <w:sz w:val="22"/>
          <w:szCs w:val="22"/>
        </w:rPr>
        <w:t xml:space="preserve">Have an accountant confirm VAT, withholding, official invoicing, expense, and recordkeeping treatment using the parties' actual registrations.</w:t>
      </w:r>
    </w:p>
    <w:p>
      <w:pPr>
        <w:pStyle w:val="ListParagraph"/>
        <w:keepNext w:val="false"/>
        <w:numPr>
          <w:ilvl w:val="0"/>
          <w:numId w:val="1"/>
        </w:numPr>
        <w:spacing w:after="120" w:line="264"/>
      </w:pPr>
      <w:r>
        <w:rPr>
          <w:rFonts w:ascii="Calibri" w:cs="Calibri" w:eastAsia="Calibri" w:hAnsi="Calibri"/>
          <w:sz w:val="22"/>
          <w:szCs w:val="22"/>
        </w:rPr>
        <w:t xml:space="preserve">Give each party the exact signed agreement, scope, change orders, delivery evidence, acceptance records, invoices, payment records, and notices.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Civil Code of the Philippines (Republic Act No. 386) - Arts. 6, 19–22, 1159, 1169, 1170–1173, 1191, 1232–1251, 1305–1317, and 2208–2220 on obligations, contracts, breach, payment, damages, and public policy (checked 2026-08-29)</w:t>
      </w:r>
    </w:p>
    <w:p>
      <w:pPr>
        <w:spacing w:after="120"/>
      </w:pPr>
      <w:hyperlink w:history="1" r:id="rIduzhn8hcktrjj5lsopea-2">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Intellectual Property Code (Republic Act No. 8293), as amended - Secs. 171–180 on copyright, commissioned work, ownership, and written assignment (checked 2026-08-29)</w:t>
      </w:r>
    </w:p>
    <w:p>
      <w:pPr>
        <w:spacing w:after="120"/>
      </w:pPr>
      <w:hyperlink w:history="1" r:id="rIdvf5snrsxrqol-9qnjd5ty">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Escauriaga v. Fitness First Phil., Inc., G.R. No. 266552, January 22, 2024 (citing Ditiangkin v. Lazada E-Services Philippines, Inc., G.R. No. 246892, September 21, 2022) - Two-tiered test: the four-fold test and the economic-dependence test; the actual relationship, not the contract label, controls classification (checked 2026-10-01)</w:t>
      </w:r>
    </w:p>
    <w:p>
      <w:pPr>
        <w:spacing w:after="120"/>
      </w:pPr>
      <w:hyperlink w:history="1" r:id="rIdmyd6qnwqrb4yq0e5eo1xy">
        <w:r>
          <w:rPr>
            <w:rFonts w:ascii="Calibri" w:cs="Calibri" w:eastAsia="Calibri" w:hAnsi="Calibri"/>
            <w:color w:val="315B75"/>
            <w:sz w:val="17"/>
            <w:szCs w:val="17"/>
            <w:u w:val="single"/>
          </w:rPr>
          <w:t xml:space="preserve">https://lawphil.net/judjuris/juri2024/jan2024/gr_266552_2024.html</w:t>
        </w:r>
      </w:hyperlink>
    </w:p>
    <w:p>
      <w:pPr>
        <w:keepNext/>
        <w:spacing w:after="60" w:before="100"/>
      </w:pPr>
      <w:r>
        <w:rPr>
          <w:rFonts w:ascii="Calibri" w:cs="Calibri" w:eastAsia="Calibri" w:hAnsi="Calibri"/>
          <w:b/>
          <w:bCs/>
          <w:sz w:val="18"/>
          <w:szCs w:val="18"/>
        </w:rPr>
        <w:t xml:space="preserve">DOLE Department Order No. 174, Series of 2017 — Rules Implementing Articles 106 to 109 of the Labor Code, as amended (Internet Archive copy of DOLE's PDF) - Secs. 3(a) (bond), 5–8 (labor-only contracting; permissible contracting), 9 (solidary liability), 10 (workers' rights), 11 (required employment contract and Service Agreement terms, including the administrative fee of not less than 10% and a yearly-renewable bond), 12 (principal deemed direct employer), and 14 (mandatory DOLE registration) (checked 2026-10-01)</w:t>
      </w:r>
    </w:p>
    <w:p>
      <w:pPr>
        <w:spacing w:after="120"/>
      </w:pPr>
      <w:hyperlink w:history="1" r:id="rIdrbuqjktg3rcdbwtgd7m_x">
        <w:r>
          <w:rPr>
            <w:rFonts w:ascii="Calibri" w:cs="Calibri" w:eastAsia="Calibri" w:hAnsi="Calibri"/>
            <w:color w:val="315B75"/>
            <w:sz w:val="17"/>
            <w:szCs w:val="17"/>
            <w:u w:val="single"/>
          </w:rPr>
          <w:t xml:space="preserve">https://web.archive.org/web/20210126043855/https://www.dole.gov.ph/php_assets/uploads/2017/07/DO-174-17-Rules-Implementing-Articles-106-to-109-of-the-Labor-Code-As-Amended1.pdf</w:t>
        </w:r>
      </w:hyperlink>
    </w:p>
    <w:p>
      <w:pPr>
        <w:keepNext/>
        <w:spacing w:after="60" w:before="100"/>
      </w:pPr>
      <w:r>
        <w:rPr>
          <w:rFonts w:ascii="Calibri" w:cs="Calibri" w:eastAsia="Calibri" w:hAnsi="Calibri"/>
          <w:b/>
          <w:bCs/>
          <w:sz w:val="18"/>
          <w:szCs w:val="18"/>
        </w:rPr>
        <w:t xml:space="preserve">DOLE Department Circular No. 01, Series of 2017 — Clarifying the Applicability of D.O. No. 174 (Internet Archive copy of DOLE's PDF) - Part II: D.O. 174 applies only to trilateral contracting arrangements and does not cover BPO, KPO, LPO, IT infrastructure outsourcing, application development, hardware or software support, medical transcription, animation, or back-office services; Part III: PCAB-licensed construction contracting follows D.O. 19-93 (checked 2026-10-01)</w:t>
      </w:r>
    </w:p>
    <w:p>
      <w:pPr>
        <w:spacing w:after="120"/>
      </w:pPr>
      <w:hyperlink w:history="1" r:id="rId7zf0lj2bsvj_wlgec1yv-">
        <w:r>
          <w:rPr>
            <w:rFonts w:ascii="Calibri" w:cs="Calibri" w:eastAsia="Calibri" w:hAnsi="Calibri"/>
            <w:color w:val="315B75"/>
            <w:sz w:val="17"/>
            <w:szCs w:val="17"/>
            <w:u w:val="single"/>
          </w:rPr>
          <w:t xml:space="preserve">https://web.archive.org/web/20230330022945/https://www.dole.gov.ph/php_assets/uploads/2017/07/Department-Circular-No_-01-17-Clarifying-the-applicability-of-Department-Order-No_-174-Series-of-2017.pdf</w:t>
        </w:r>
      </w:hyperlink>
    </w:p>
    <w:p>
      <w:pPr>
        <w:keepNext/>
        <w:spacing w:after="60" w:before="100"/>
      </w:pPr>
      <w:r>
        <w:rPr>
          <w:rFonts w:ascii="Calibri" w:cs="Calibri" w:eastAsia="Calibri" w:hAnsi="Calibri"/>
          <w:b/>
          <w:bCs/>
          <w:sz w:val="18"/>
          <w:szCs w:val="18"/>
        </w:rPr>
        <w:t xml:space="preserve">Excellent Quality Apparel, Inc. v. Win Multi Rich Builders, Inc., G.R. No. 175048, February 10, 2009 - A sole proprietorship does not possess a juridical personality separate and distinct from the personality of its owner; the owner is the contracting party (checked 2026-10-01)</w:t>
      </w:r>
    </w:p>
    <w:p>
      <w:pPr>
        <w:spacing w:after="120"/>
      </w:pPr>
      <w:hyperlink w:history="1" r:id="rIdakwqxkanjfchbovou8d7p">
        <w:r>
          <w:rPr>
            <w:rFonts w:ascii="Calibri" w:cs="Calibri" w:eastAsia="Calibri" w:hAnsi="Calibri"/>
            <w:color w:val="315B75"/>
            <w:sz w:val="17"/>
            <w:szCs w:val="17"/>
            <w:u w:val="single"/>
          </w:rPr>
          <w:t xml:space="preserve">https://lawphil.net/judjuris/juri2009/feb2009/gr_175048_2009.html</w:t>
        </w:r>
      </w:hyperlink>
    </w:p>
    <w:p>
      <w:pPr>
        <w:keepNext/>
        <w:spacing w:after="60" w:before="100"/>
      </w:pPr>
      <w:r>
        <w:rPr>
          <w:rFonts w:ascii="Calibri" w:cs="Calibri" w:eastAsia="Calibri" w:hAnsi="Calibri"/>
          <w:b/>
          <w:bCs/>
          <w:sz w:val="18"/>
          <w:szCs w:val="18"/>
        </w:rPr>
        <w:t xml:space="preserve">Rules of Court, Rule 4 (Venue of Actions); Sps. Lantin v. Lantion, G.R. No. 160053, August 28, 2006 - Rule 4, Sec. 4(b): parties may agree in writing on an exclusive venue; without restrictive words a venue stipulation is only an additional forum (checked 2026-10-01)</w:t>
      </w:r>
    </w:p>
    <w:p>
      <w:pPr>
        <w:spacing w:after="120"/>
      </w:pPr>
      <w:hyperlink w:history="1" r:id="rIdb7yqr14bnu26yzslh9l1x">
        <w:r>
          <w:rPr>
            <w:rFonts w:ascii="Calibri" w:cs="Calibri" w:eastAsia="Calibri" w:hAnsi="Calibri"/>
            <w:color w:val="315B75"/>
            <w:sz w:val="17"/>
            <w:szCs w:val="17"/>
            <w:u w:val="single"/>
          </w:rPr>
          <w:t xml:space="preserve">https://lawphil.net/judjuris/juri2006/aug2006/gr_160053_2006.html</w:t>
        </w:r>
      </w:hyperlink>
    </w:p>
    <w:p>
      <w:pPr>
        <w:keepNext/>
        <w:spacing w:after="60" w:before="100"/>
      </w:pPr>
      <w:r>
        <w:rPr>
          <w:rFonts w:ascii="Calibri" w:cs="Calibri" w:eastAsia="Calibri" w:hAnsi="Calibri"/>
          <w:b/>
          <w:bCs/>
          <w:sz w:val="18"/>
          <w:szCs w:val="18"/>
        </w:rPr>
        <w:t xml:space="preserve">Data Privacy Act of 2012 and Implementing Rules - Lawful processing, controller-processor guarantees, security, accountability, and data-subject rights (checked 2026-08-29)</w:t>
      </w:r>
    </w:p>
    <w:p>
      <w:pPr>
        <w:spacing w:after="120"/>
      </w:pPr>
      <w:hyperlink w:history="1" r:id="rIdhtbdljqtaqqrz78noux_b">
        <w:r>
          <w:rPr>
            <w:rFonts w:ascii="Calibri" w:cs="Calibri" w:eastAsia="Calibri" w:hAnsi="Calibri"/>
            <w:color w:val="315B75"/>
            <w:sz w:val="17"/>
            <w:szCs w:val="17"/>
            <w:u w:val="single"/>
          </w:rPr>
          <w:t xml:space="preserve">https://privacy.gov.ph/implementing-rules-regulations-data-privacy-act-2012/</w:t>
        </w:r>
      </w:hyperlink>
    </w:p>
    <w:p>
      <w:pPr>
        <w:keepNext/>
        <w:spacing w:after="60" w:before="100"/>
      </w:pPr>
      <w:r>
        <w:rPr>
          <w:rFonts w:ascii="Calibri" w:cs="Calibri" w:eastAsia="Calibri" w:hAnsi="Calibri"/>
          <w:b/>
          <w:bCs/>
          <w:sz w:val="18"/>
          <w:szCs w:val="18"/>
        </w:rPr>
        <w:t xml:space="preserve">Electronic Commerce Act of 2000 (Republic Act No. 8792) - Secs. 6–8 on electronic documents and signatures (checked 2026-08-29)</w:t>
      </w:r>
    </w:p>
    <w:p>
      <w:pPr>
        <w:spacing w:after="120"/>
      </w:pPr>
      <w:hyperlink w:history="1" r:id="rIdeaee4flqp0wnw1xubgwbl">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Revenue Regulations No. 7-2024 and Revenue Memorandum Circular No. 77-2024 - Current EOPT registration and service-invoice requirements, including the transition from official receipts to invoices (checked 2026-08-31)</w:t>
      </w:r>
    </w:p>
    <w:p>
      <w:pPr>
        <w:spacing w:after="120"/>
      </w:pPr>
      <w:hyperlink w:history="1" r:id="rId2ywde_orllrdqjn4ubdh6">
        <w:r>
          <w:rPr>
            <w:rFonts w:ascii="Calibri" w:cs="Calibri" w:eastAsia="Calibri" w:hAnsi="Calibri"/>
            <w:color w:val="315B75"/>
            <w:sz w:val="17"/>
            <w:szCs w:val="17"/>
            <w:u w:val="single"/>
          </w:rPr>
          <w:t xml:space="preserve">https://bir-cdn.bir.gov.ph/BIR/pdf/RMC%20No.%2077-2024.pdf</w:t>
        </w:r>
      </w:hyperlink>
    </w:p>
    <w:p>
      <w:pPr>
        <w:keepNext/>
        <w:spacing w:after="60" w:before="100"/>
      </w:pPr>
      <w:r>
        <w:rPr>
          <w:rFonts w:ascii="Calibri" w:cs="Calibri" w:eastAsia="Calibri" w:hAnsi="Calibri"/>
          <w:b/>
          <w:bCs/>
          <w:sz w:val="18"/>
          <w:szCs w:val="18"/>
        </w:rPr>
        <w:t xml:space="preserve">Social Security Act of 2018 (Republic Act No. 11199) - Secs. 8–10 and 9-A on employee status and compulsory SSS coverage of qualifying self-employed persons (checked 2026-10-01)</w:t>
      </w:r>
    </w:p>
    <w:p>
      <w:pPr>
        <w:spacing w:after="120"/>
      </w:pPr>
      <w:hyperlink w:history="1" r:id="rId3ygqmqxdgg8hnoccmud9a">
        <w:r>
          <w:rPr>
            <w:rFonts w:ascii="Calibri" w:cs="Calibri" w:eastAsia="Calibri" w:hAnsi="Calibri"/>
            <w:color w:val="315B75"/>
            <w:sz w:val="17"/>
            <w:szCs w:val="17"/>
            <w:u w:val="single"/>
          </w:rPr>
          <w:t xml:space="preserve">https://lawphil.net/statutes/repacts/ra2019/ra_11199_2019.html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hn8hcktrjj5lsopea-2" Type="http://schemas.openxmlformats.org/officeDocument/2006/relationships/hyperlink" Target="https://lawphil.net/statutes/repacts/ra1949/ra_386_1949.html" TargetMode="External"/><Relationship Id="rIdvf5snrsxrqol-9qnjd5ty" Type="http://schemas.openxmlformats.org/officeDocument/2006/relationships/hyperlink" Target="https://lawphil.net/statutes/repacts/ra1997/ra_8293_1997.html" TargetMode="External"/><Relationship Id="rIdmyd6qnwqrb4yq0e5eo1xy" Type="http://schemas.openxmlformats.org/officeDocument/2006/relationships/hyperlink" Target="https://lawphil.net/judjuris/juri2024/jan2024/gr_266552_2024.html" TargetMode="External"/><Relationship Id="rIdrbuqjktg3rcdbwtgd7m_x" Type="http://schemas.openxmlformats.org/officeDocument/2006/relationships/hyperlink" Target="https://web.archive.org/web/20210126043855/https://www.dole.gov.ph/php_assets/uploads/2017/07/DO-174-17-Rules-Implementing-Articles-106-to-109-of-the-Labor-Code-As-Amended1.pdf" TargetMode="External"/><Relationship Id="rId7zf0lj2bsvj_wlgec1yv-" Type="http://schemas.openxmlformats.org/officeDocument/2006/relationships/hyperlink" Target="https://web.archive.org/web/20230330022945/https://www.dole.gov.ph/php_assets/uploads/2017/07/Department-Circular-No_-01-17-Clarifying-the-applicability-of-Department-Order-No_-174-Series-of-2017.pdf" TargetMode="External"/><Relationship Id="rIdakwqxkanjfchbovou8d7p" Type="http://schemas.openxmlformats.org/officeDocument/2006/relationships/hyperlink" Target="https://lawphil.net/judjuris/juri2009/feb2009/gr_175048_2009.html" TargetMode="External"/><Relationship Id="rIdb7yqr14bnu26yzslh9l1x" Type="http://schemas.openxmlformats.org/officeDocument/2006/relationships/hyperlink" Target="https://lawphil.net/judjuris/juri2006/aug2006/gr_160053_2006.html" TargetMode="External"/><Relationship Id="rIdhtbdljqtaqqrz78noux_b" Type="http://schemas.openxmlformats.org/officeDocument/2006/relationships/hyperlink" Target="https://privacy.gov.ph/implementing-rules-regulations-data-privacy-act-2012/" TargetMode="External"/><Relationship Id="rIdeaee4flqp0wnw1xubgwbl" Type="http://schemas.openxmlformats.org/officeDocument/2006/relationships/hyperlink" Target="https://lawphil.net/statutes/repacts/ra2000/ra_8792_2000.html" TargetMode="External"/><Relationship Id="rId2ywde_orllrdqjn4ubdh6" Type="http://schemas.openxmlformats.org/officeDocument/2006/relationships/hyperlink" Target="https://bir-cdn.bir.gov.ph/BIR/pdf/RMC%20No.%2077-2024.pdf" TargetMode="External"/><Relationship Id="rId3ygqmqxdgg8hnoccmud9a" Type="http://schemas.openxmlformats.org/officeDocument/2006/relationships/hyperlink" Target="https://lawphil.net/statutes/repacts/ra2019/ra_11199_2019.html"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dc:title>
  <dc:creator>LAW.PH</dc:creator>
  <dc:description>Free sample of the Independent Contractor Agreement from LAW.PH, with fictional details</dc:description>
  <cp:lastModifiedBy>Un-named</cp:lastModifiedBy>
  <cp:revision>1</cp:revision>
  <dcterms:created xsi:type="dcterms:W3CDTF">2026-10-02T05:29:58.253Z</dcterms:created>
  <dcterms:modified xsi:type="dcterms:W3CDTF">2026-10-02T05:29:58.253Z</dcterms:modified>
</cp:coreProperties>
</file>

<file path=docProps/custom.xml><?xml version="1.0" encoding="utf-8"?>
<Properties xmlns="http://schemas.openxmlformats.org/officeDocument/2006/custom-properties" xmlns:vt="http://schemas.openxmlformats.org/officeDocument/2006/docPropsVTypes"/>
</file>