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INSTALLMENT VEHICLE SALE AGREEMENT AND PAYMENT ACKNOWLEDGMENT</w:t>
      </w:r>
    </w:p>
    <w:p>
      <w:pPr>
        <w:spacing w:after="160"/>
        <w:jc w:val="center"/>
      </w:pPr>
      <w:r>
        <w:rPr>
          <w:rFonts w:ascii="Calibri" w:cs="Calibri" w:eastAsia="Calibri" w:hAnsi="Calibri"/>
          <w:color w:val="566674"/>
          <w:sz w:val="18"/>
          <w:szCs w:val="18"/>
        </w:rPr>
        <w:t xml:space="preserve">Republic of the Philippines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keepLines/>
        <w:spacing w:after="120" w:line="264"/>
        <w:jc w:val="both"/>
      </w:pPr>
      <w:r>
        <w:rPr>
          <w:rFonts w:ascii="Calibri" w:cs="Calibri" w:eastAsia="Calibri" w:hAnsi="Calibri"/>
          <w:sz w:val="22"/>
          <w:szCs w:val="22"/>
        </w:rPr>
        <w:t xml:space="preserve">REPUBLIC OF THE PHILIPPINES )</w:t>
      </w:r>
    </w:p>
    <w:p>
      <w:pPr>
        <w:keepLines/>
        <w:spacing w:after="120" w:line="264"/>
        <w:jc w:val="both"/>
      </w:pPr>
      <w:r>
        <w:rPr>
          <w:rFonts w:ascii="Calibri" w:cs="Calibri" w:eastAsia="Calibri" w:hAnsi="Calibri"/>
          <w:sz w:val="22"/>
          <w:szCs w:val="22"/>
        </w:rPr>
        <w:t xml:space="preserve">MAKATI CITY ) S.S.</w:t>
      </w:r>
    </w:p>
    <w:p>
      <w:pPr>
        <w:pStyle w:val="Heading2"/>
        <w:keepNext/>
        <w:spacing w:after="120" w:before="240"/>
      </w:pPr>
      <w:r>
        <w:rPr>
          <w:rFonts w:ascii="Calibri" w:cs="Calibri" w:eastAsia="Calibri" w:hAnsi="Calibri"/>
          <w:b/>
          <w:bCs/>
          <w:color w:val="102B3F"/>
          <w:sz w:val="26"/>
          <w:szCs w:val="26"/>
        </w:rPr>
        <w:t xml:space="preserve">PARTIES AND PURPOSE</w:t>
      </w:r>
    </w:p>
    <w:p>
      <w:pPr>
        <w:keepLines/>
        <w:spacing w:after="120" w:line="264"/>
        <w:jc w:val="both"/>
      </w:pPr>
      <w:r>
        <w:rPr>
          <w:rFonts w:ascii="Calibri" w:cs="Calibri" w:eastAsia="Calibri" w:hAnsi="Calibri"/>
          <w:sz w:val="22"/>
          <w:szCs w:val="22"/>
        </w:rPr>
        <w:t xml:space="preserve">This INSTALLMENT SALE AGREEMENT AND PAYMENT ACKNOWLEDGMENT FOR MOTOR VEHICLE is made on August 31, 2026 by Maria Elena Santos, Filipino citizen, of legal age, single, and residing at 100 Ayala Avenue, Makati City 1226 (the “Seller”) with Roberto Dela Cruz, Filipino citizen, of legal age, single, and residing at 18 Jupiter Street, Makati City 1209 (the “Buyer”).</w:t>
      </w:r>
    </w:p>
    <w:p>
      <w:pPr>
        <w:keepLines/>
        <w:spacing w:after="120" w:line="264"/>
        <w:jc w:val="both"/>
      </w:pPr>
      <w:r>
        <w:rPr>
          <w:rFonts w:ascii="Calibri" w:cs="Calibri" w:eastAsia="Calibri" w:hAnsi="Calibri"/>
          <w:sz w:val="22"/>
          <w:szCs w:val="22"/>
        </w:rPr>
        <w:t xml:space="preserve">The parties identify each other completely in this Agreement. No name, price, date, vehicle identifier, signature, or acknowledgment is intentionally left blank for a later buyer, resale, or so-called open deed.</w:t>
      </w:r>
    </w:p>
    <w:p>
      <w:pPr>
        <w:pStyle w:val="Heading2"/>
        <w:keepNext/>
        <w:spacing w:after="120" w:before="240"/>
      </w:pPr>
      <w:r>
        <w:rPr>
          <w:rFonts w:ascii="Calibri" w:cs="Calibri" w:eastAsia="Calibri" w:hAnsi="Calibri"/>
          <w:b/>
          <w:bCs/>
          <w:color w:val="102B3F"/>
          <w:sz w:val="26"/>
          <w:szCs w:val="26"/>
        </w:rPr>
        <w:t xml:space="preserve">VEHICLE</w:t>
      </w:r>
    </w:p>
    <w:p>
      <w:pPr>
        <w:keepLines/>
        <w:spacing w:after="120" w:line="264"/>
        <w:jc w:val="both"/>
      </w:pPr>
      <w:r>
        <w:rPr>
          <w:rFonts w:ascii="Calibri" w:cs="Calibri" w:eastAsia="Calibri" w:hAnsi="Calibri"/>
          <w:sz w:val="22"/>
          <w:szCs w:val="22"/>
        </w:rPr>
        <w:t xml:space="preserve">Type: car · Make: Toyota · Series/Model: Vios 1.3 XLE CVT · Body type: Sedan · Year model: 2022 · Color: Silver Metallic.</w:t>
      </w:r>
    </w:p>
    <w:p>
      <w:pPr>
        <w:keepLines/>
        <w:spacing w:after="120" w:line="264"/>
        <w:jc w:val="both"/>
      </w:pPr>
      <w:r>
        <w:rPr>
          <w:rFonts w:ascii="Calibri" w:cs="Calibri" w:eastAsia="Calibri" w:hAnsi="Calibri"/>
          <w:sz w:val="22"/>
          <w:szCs w:val="22"/>
        </w:rPr>
        <w:t xml:space="preserve">Plate/official reference: ABC 1234 · MV file no.: 1301-00000123456 · Engine no.: 1NRX123456 · Chassis/VIN no.: NCP150-1234567.</w:t>
      </w:r>
    </w:p>
    <w:p>
      <w:pPr>
        <w:keepLines/>
        <w:spacing w:after="120" w:line="264"/>
        <w:jc w:val="both"/>
      </w:pPr>
      <w:r>
        <w:rPr>
          <w:rFonts w:ascii="Calibri" w:cs="Calibri" w:eastAsia="Calibri" w:hAnsi="Calibri"/>
          <w:sz w:val="22"/>
          <w:szCs w:val="22"/>
        </w:rPr>
        <w:t xml:space="preserve">CR no.: CR-2022-001234 · Latest OR no.: OR-2026-009876 · Registration status: current · Expiry/due date: March 15, 2027 · Record office: LTO Makati District Office.</w:t>
      </w:r>
    </w:p>
    <w:p>
      <w:pPr>
        <w:keepLines/>
        <w:spacing w:after="120" w:line="264"/>
        <w:jc w:val="both"/>
      </w:pPr>
      <w:r>
        <w:rPr>
          <w:rFonts w:ascii="Calibri" w:cs="Calibri" w:eastAsia="Calibri" w:hAnsi="Calibri"/>
          <w:sz w:val="22"/>
          <w:szCs w:val="22"/>
        </w:rPr>
        <w:t xml:space="preserve">Odometer disclosure: 42,850 km, represented by the Seller as believed actual after reasonable records review.</w:t>
      </w:r>
    </w:p>
    <w:p>
      <w:pPr>
        <w:pStyle w:val="Heading2"/>
        <w:keepNext/>
        <w:spacing w:after="120" w:before="240"/>
      </w:pPr>
      <w:r>
        <w:rPr>
          <w:rFonts w:ascii="Calibri" w:cs="Calibri" w:eastAsia="Calibri" w:hAnsi="Calibri"/>
          <w:b/>
          <w:bCs/>
          <w:color w:val="102B3F"/>
          <w:sz w:val="26"/>
          <w:szCs w:val="26"/>
        </w:rPr>
        <w:t xml:space="preserve">INSTALLMENT PRICE AND CREDIT DISCLOSURE</w:t>
      </w:r>
    </w:p>
    <w:p>
      <w:pPr>
        <w:keepLines/>
        <w:spacing w:after="120" w:line="264"/>
        <w:jc w:val="both"/>
      </w:pPr>
      <w:r>
        <w:rPr>
          <w:rFonts w:ascii="Calibri" w:cs="Calibri" w:eastAsia="Calibri" w:hAnsi="Calibri"/>
          <w:sz w:val="22"/>
          <w:szCs w:val="22"/>
        </w:rPr>
        <w:t xml:space="preserve">Cash price: PHP 520,000.00. Down payment acknowledged as cleared at signing: PHP 100,000.00. Amount financed: PHP 420,000.00. Itemized non-finance charges: PHP 2,500.00. Total finance charge: PHP 24,000.00. Total of installments: PHP 444,000.00. Total scheduled payments including down payment and stated non-finance charges: PHP 546,500.00.</w:t>
      </w:r>
    </w:p>
    <w:p>
      <w:pPr>
        <w:keepLines/>
        <w:spacing w:after="120" w:line="264"/>
        <w:jc w:val="both"/>
      </w:pPr>
      <w:r>
        <w:rPr>
          <w:rFonts w:ascii="Calibri" w:cs="Calibri" w:eastAsia="Calibri" w:hAnsi="Calibri"/>
          <w:sz w:val="22"/>
          <w:szCs w:val="22"/>
        </w:rPr>
        <w:t xml:space="preserve">Simple annual rate on the outstanding unpaid balance, computed from this schedule: 10.39% (monthly rate 0.8655% × 12). Effective interest rate: 10.89% per year. A covered creditor must also deliver any separate disclosure statement in the form current rules require before consummation.</w:t>
      </w:r>
    </w:p>
    <w:p>
      <w:pPr>
        <w:keepLines/>
        <w:spacing w:after="120" w:line="264"/>
        <w:jc w:val="both"/>
      </w:pPr>
      <w:r>
        <w:rPr>
          <w:rFonts w:ascii="Calibri" w:cs="Calibri" w:eastAsia="Calibri" w:hAnsi="Calibri"/>
          <w:sz w:val="22"/>
          <w:szCs w:val="22"/>
        </w:rPr>
        <w:t xml:space="preserve">There are 12 monthly installments beginning September 30, 2026. Each due date uses the same numerical day, clamped to the final day of a shorter month. The final installment alone absorbs centavo rounding. Payment channel: Bank transfer to the Seller's independently verified account, with each payment identified by agreement and installment number.</w:t>
      </w:r>
    </w:p>
    <w:p>
      <w:pPr>
        <w:keepLines/>
        <w:spacing w:after="120" w:line="264"/>
        <w:jc w:val="both"/>
      </w:pPr>
      <w:r>
        <w:rPr>
          <w:rFonts w:ascii="Calibri" w:cs="Calibri" w:eastAsia="Calibri" w:hAnsi="Calibri"/>
          <w:sz w:val="22"/>
          <w:szCs w:val="22"/>
        </w:rPr>
        <w:t xml:space="preserve">Installment 1: PHP 37,000.00 due September 30, 2026; scheduled balance after payment: PHP 407,000.00.</w:t>
      </w:r>
    </w:p>
    <w:p>
      <w:pPr>
        <w:keepLines/>
        <w:spacing w:after="120" w:line="264"/>
        <w:jc w:val="both"/>
      </w:pPr>
      <w:r>
        <w:rPr>
          <w:rFonts w:ascii="Calibri" w:cs="Calibri" w:eastAsia="Calibri" w:hAnsi="Calibri"/>
          <w:sz w:val="22"/>
          <w:szCs w:val="22"/>
        </w:rPr>
        <w:t xml:space="preserve">Installment 2: PHP 37,000.00 due October 30, 2026; scheduled balance after payment: PHP 370,000.00.</w:t>
      </w:r>
    </w:p>
    <w:p>
      <w:pPr>
        <w:keepLines/>
        <w:spacing w:after="120" w:line="264"/>
        <w:jc w:val="both"/>
      </w:pPr>
      <w:r>
        <w:rPr>
          <w:rFonts w:ascii="Calibri" w:cs="Calibri" w:eastAsia="Calibri" w:hAnsi="Calibri"/>
          <w:sz w:val="22"/>
          <w:szCs w:val="22"/>
        </w:rPr>
        <w:t xml:space="preserve">Installment 3: PHP 37,000.00 due November 30, 2026; scheduled balance after payment: PHP 333,000.00.</w:t>
      </w:r>
    </w:p>
    <w:p>
      <w:pPr>
        <w:keepLines/>
        <w:spacing w:after="120" w:line="264"/>
        <w:jc w:val="both"/>
      </w:pPr>
      <w:r>
        <w:rPr>
          <w:rFonts w:ascii="Calibri" w:cs="Calibri" w:eastAsia="Calibri" w:hAnsi="Calibri"/>
          <w:sz w:val="22"/>
          <w:szCs w:val="22"/>
        </w:rPr>
        <w:t xml:space="preserve">Installment 4: PHP 37,000.00 due December 30, 2026; scheduled balance after payment: PHP 296,000.00.</w:t>
      </w:r>
    </w:p>
    <w:p>
      <w:pPr>
        <w:keepLines/>
        <w:spacing w:after="120" w:line="264"/>
        <w:jc w:val="both"/>
      </w:pPr>
      <w:r>
        <w:rPr>
          <w:rFonts w:ascii="Calibri" w:cs="Calibri" w:eastAsia="Calibri" w:hAnsi="Calibri"/>
          <w:sz w:val="22"/>
          <w:szCs w:val="22"/>
        </w:rPr>
        <w:t xml:space="preserve">Installment 5: PHP 37,000.00 due January 30, 2027; scheduled balance after payment: PHP 259,000.00.</w:t>
      </w:r>
    </w:p>
    <w:p>
      <w:pPr>
        <w:keepLines/>
        <w:spacing w:after="120" w:line="264"/>
        <w:jc w:val="both"/>
      </w:pPr>
      <w:r>
        <w:rPr>
          <w:rFonts w:ascii="Calibri" w:cs="Calibri" w:eastAsia="Calibri" w:hAnsi="Calibri"/>
          <w:sz w:val="22"/>
          <w:szCs w:val="22"/>
        </w:rPr>
        <w:t xml:space="preserve">Installment 6: PHP 37,000.00 due February 28, 2027; scheduled balance after payment: PHP 222,000.00.</w:t>
      </w:r>
    </w:p>
    <w:p>
      <w:pPr>
        <w:keepLines/>
        <w:spacing w:after="120" w:line="264"/>
        <w:jc w:val="both"/>
      </w:pPr>
      <w:r>
        <w:rPr>
          <w:rFonts w:ascii="Calibri" w:cs="Calibri" w:eastAsia="Calibri" w:hAnsi="Calibri"/>
          <w:sz w:val="22"/>
          <w:szCs w:val="22"/>
        </w:rPr>
        <w:t xml:space="preserve">Installment 7: PHP 37,000.00 due March 30, 2027; scheduled balance after payment: PHP 185,000.00.</w:t>
      </w:r>
    </w:p>
    <w:p>
      <w:pPr>
        <w:keepLines/>
        <w:spacing w:after="120" w:line="264"/>
        <w:jc w:val="both"/>
      </w:pPr>
      <w:r>
        <w:rPr>
          <w:rFonts w:ascii="Calibri" w:cs="Calibri" w:eastAsia="Calibri" w:hAnsi="Calibri"/>
          <w:sz w:val="22"/>
          <w:szCs w:val="22"/>
        </w:rPr>
        <w:t xml:space="preserve">Installment 8: PHP 37,000.00 due April 30, 2027; scheduled balance after payment: PHP 148,000.00.</w:t>
      </w:r>
    </w:p>
    <w:p>
      <w:pPr>
        <w:keepLines/>
        <w:spacing w:after="120" w:line="264"/>
        <w:jc w:val="both"/>
      </w:pPr>
      <w:r>
        <w:rPr>
          <w:rFonts w:ascii="Calibri" w:cs="Calibri" w:eastAsia="Calibri" w:hAnsi="Calibri"/>
          <w:sz w:val="22"/>
          <w:szCs w:val="22"/>
        </w:rPr>
        <w:t xml:space="preserve">Installment 9: PHP 37,000.00 due May 30, 2027; scheduled balance after payment: PHP 111,000.00.</w:t>
      </w:r>
    </w:p>
    <w:p>
      <w:pPr>
        <w:keepLines/>
        <w:spacing w:after="120" w:line="264"/>
        <w:jc w:val="both"/>
      </w:pPr>
      <w:r>
        <w:rPr>
          <w:rFonts w:ascii="Calibri" w:cs="Calibri" w:eastAsia="Calibri" w:hAnsi="Calibri"/>
          <w:sz w:val="22"/>
          <w:szCs w:val="22"/>
        </w:rPr>
        <w:t xml:space="preserve">Installment 10: PHP 37,000.00 due June 30, 2027; scheduled balance after payment: PHP 74,000.00.</w:t>
      </w:r>
    </w:p>
    <w:p>
      <w:pPr>
        <w:keepLines/>
        <w:spacing w:after="120" w:line="264"/>
        <w:jc w:val="both"/>
      </w:pPr>
      <w:r>
        <w:rPr>
          <w:rFonts w:ascii="Calibri" w:cs="Calibri" w:eastAsia="Calibri" w:hAnsi="Calibri"/>
          <w:sz w:val="22"/>
          <w:szCs w:val="22"/>
        </w:rPr>
        <w:t xml:space="preserve">Installment 11: PHP 37,000.00 due July 30, 2027; scheduled balance after payment: PHP 37,000.00.</w:t>
      </w:r>
    </w:p>
    <w:p>
      <w:pPr>
        <w:keepLines/>
        <w:spacing w:after="120" w:line="264"/>
        <w:jc w:val="both"/>
      </w:pPr>
      <w:r>
        <w:rPr>
          <w:rFonts w:ascii="Calibri" w:cs="Calibri" w:eastAsia="Calibri" w:hAnsi="Calibri"/>
          <w:sz w:val="22"/>
          <w:szCs w:val="22"/>
        </w:rPr>
        <w:t xml:space="preserve">Installment 12: PHP 37,000.00 due August 30, 2027; scheduled balance after payment: PHP 0.00.</w:t>
      </w:r>
    </w:p>
    <w:p>
      <w:pPr>
        <w:pStyle w:val="Heading2"/>
        <w:keepNext/>
        <w:spacing w:after="120" w:before="240"/>
      </w:pPr>
      <w:r>
        <w:rPr>
          <w:rFonts w:ascii="Calibri" w:cs="Calibri" w:eastAsia="Calibri" w:hAnsi="Calibri"/>
          <w:b/>
          <w:bCs/>
          <w:color w:val="102B3F"/>
          <w:sz w:val="26"/>
          <w:szCs w:val="26"/>
        </w:rPr>
        <w:t xml:space="preserve">INITIAL PAYMENT ACKNOWLEDGMENT</w:t>
      </w:r>
    </w:p>
    <w:p>
      <w:pPr>
        <w:keepLines/>
        <w:spacing w:after="120" w:line="264"/>
        <w:jc w:val="both"/>
      </w:pPr>
      <w:r>
        <w:rPr>
          <w:rFonts w:ascii="Calibri" w:cs="Calibri" w:eastAsia="Calibri" w:hAnsi="Calibri"/>
          <w:sz w:val="22"/>
          <w:szCs w:val="22"/>
        </w:rPr>
        <w:t xml:space="preserve">The Seller acknowledges receipt of cleared funds totaling PHP 100,000.00 on August 31, 2026 under transaction reference BPI transfer reference 20260831-44198, credited entirely as the stated down payment. This is not a paid-in-full receipt. The scheduled installment balance remains PHP 444,000.00, excluding only the separately stated non-finance charges.</w:t>
      </w:r>
    </w:p>
    <w:p>
      <w:pPr>
        <w:keepLines/>
        <w:spacing w:after="120" w:line="264"/>
        <w:jc w:val="both"/>
      </w:pPr>
      <w:r>
        <w:rPr>
          <w:rFonts w:ascii="Calibri" w:cs="Calibri" w:eastAsia="Calibri" w:hAnsi="Calibri"/>
          <w:sz w:val="22"/>
          <w:szCs w:val="22"/>
        </w:rPr>
        <w:t xml:space="preserve">For every later cleared payment, the Seller shall issue the following evidence: The Seller will issue a dated acknowledgment for each cleared payment, showing the installment number, amount received, allocation, and remaining scheduled balance; a Seller in business also issues its BIR-registered invoice for the sale. A pending transfer screenshot, unsigned ledger, postdated check, or promise to pay is not a receipt of cleared funds.</w:t>
      </w:r>
    </w:p>
    <w:p>
      <w:pPr>
        <w:pStyle w:val="Heading2"/>
        <w:keepNext/>
        <w:spacing w:after="120" w:before="240"/>
      </w:pPr>
      <w:r>
        <w:rPr>
          <w:rFonts w:ascii="Calibri" w:cs="Calibri" w:eastAsia="Calibri" w:hAnsi="Calibri"/>
          <w:b/>
          <w:bCs/>
          <w:color w:val="102B3F"/>
          <w:sz w:val="26"/>
          <w:szCs w:val="26"/>
        </w:rPr>
        <w:t xml:space="preserve">SALE, TITLE TRANSFER, AND PURCHASE-MONEY SECURITY</w:t>
      </w:r>
    </w:p>
    <w:p>
      <w:pPr>
        <w:keepLines/>
        <w:spacing w:after="120" w:line="264"/>
        <w:jc w:val="both"/>
      </w:pPr>
      <w:r>
        <w:rPr>
          <w:rFonts w:ascii="Calibri" w:cs="Calibri" w:eastAsia="Calibri" w:hAnsi="Calibri"/>
          <w:sz w:val="22"/>
          <w:szCs w:val="22"/>
        </w:rPr>
        <w:t xml:space="preserve">The Seller sells the identified Vehicle to the Buyer for the stated installment price. The parties shall pursue prompt LTO transfer to the named Buyer and do not use an open deed or retain the public record in the Seller's name merely to pressure payment. To secure the unpaid price, the Buyer grants the Seller a purchase-money security interest over the exact Vehicle and its identifiable proceeds to the extent permitted by Republic Act No. 11057 and other applicable law.</w:t>
      </w:r>
    </w:p>
    <w:p>
      <w:pPr>
        <w:keepLines/>
        <w:spacing w:after="120" w:line="264"/>
        <w:jc w:val="both"/>
      </w:pPr>
      <w:r>
        <w:rPr>
          <w:rFonts w:ascii="Calibri" w:cs="Calibri" w:eastAsia="Calibri" w:hAnsi="Calibri"/>
          <w:sz w:val="22"/>
          <w:szCs w:val="22"/>
        </w:rPr>
        <w:t xml:space="preserve">The Seller shall register the notice of its purchase-money security interest in the Personal Property Security Registry before turnover and give the Buyer the registration record; the Buyer need not accept turnover until then. PPSR plan: The Seller will register the purchase-money security notice in the PPSR before turnover, give the Buyer the registration record, amend any error without delay, and file termination promptly after final cleared payment. The parties shall also satisfy any LTO annotation, tax, notarial, or office-specific step that remains applicable. The Seller shall correct an inaccurate notice, account for proceeds, and terminate the notice and release supporting records after final cleared payment and satisfaction of lawful obligations.</w:t>
      </w:r>
    </w:p>
    <w:p>
      <w:pPr>
        <w:keepLines/>
        <w:spacing w:after="120" w:line="264"/>
        <w:jc w:val="both"/>
      </w:pPr>
      <w:r>
        <w:rPr>
          <w:rFonts w:ascii="Calibri" w:cs="Calibri" w:eastAsia="Calibri" w:hAnsi="Calibri"/>
          <w:sz w:val="22"/>
          <w:szCs w:val="22"/>
        </w:rPr>
        <w:t xml:space="preserve">Until final cleared payment, the Buyer shall not sell, encumber, lease, conceal, export, abandon, materially alter, tamper with identifiers of, or surrender the Vehicle to another person without lawful written authority. This restriction does not permit self-help violence, trespass, breach of peace, or a transfer that defeats mandatory law or good-faith third-party rights.</w:t>
      </w:r>
    </w:p>
    <w:p>
      <w:pPr>
        <w:pStyle w:val="Heading2"/>
        <w:keepNext/>
        <w:spacing w:after="120" w:before="240"/>
      </w:pPr>
      <w:r>
        <w:rPr>
          <w:rFonts w:ascii="Calibri" w:cs="Calibri" w:eastAsia="Calibri" w:hAnsi="Calibri"/>
          <w:b/>
          <w:bCs/>
          <w:color w:val="102B3F"/>
          <w:sz w:val="26"/>
          <w:szCs w:val="26"/>
        </w:rPr>
        <w:t xml:space="preserve">TITLE, AUTHORITY, AND RECORD WARRANTIES</w:t>
      </w:r>
    </w:p>
    <w:p>
      <w:pPr>
        <w:keepLines/>
        <w:spacing w:after="120" w:line="264"/>
        <w:jc w:val="both"/>
      </w:pPr>
      <w:r>
        <w:rPr>
          <w:rFonts w:ascii="Calibri" w:cs="Calibri" w:eastAsia="Calibri" w:hAnsi="Calibri"/>
          <w:sz w:val="22"/>
          <w:szCs w:val="22"/>
        </w:rPr>
        <w:t xml:space="preserve">The Seller represents the following ownership basis: Purchased new from an authorized Toyota dealer under Sales Invoice SI-2022-1234 and continuously registered in the Seller's name; the Seller's name matches the current CR and the Seller has present authority to transfer the Vehicle. The Vehicle is represented as the Seller's separate property.</w:t>
      </w:r>
    </w:p>
    <w:p>
      <w:pPr>
        <w:keepLines/>
        <w:spacing w:after="120" w:line="264"/>
        <w:jc w:val="both"/>
      </w:pPr>
      <w:r>
        <w:rPr>
          <w:rFonts w:ascii="Calibri" w:cs="Calibri" w:eastAsia="Calibri" w:hAnsi="Calibri"/>
          <w:sz w:val="22"/>
          <w:szCs w:val="22"/>
        </w:rPr>
        <w:t xml:space="preserve">The Seller represents that no chattel mortgage, CR/CRE annotation, PPSR notice, attachment, levy, lease, adverse claim, or other encumbrance is shown on the reviewed records or otherwise known after reasonable inquiry.</w:t>
      </w:r>
    </w:p>
    <w:p>
      <w:pPr>
        <w:keepLines/>
        <w:spacing w:after="120" w:line="264"/>
        <w:jc w:val="both"/>
      </w:pPr>
      <w:r>
        <w:rPr>
          <w:rFonts w:ascii="Calibri" w:cs="Calibri" w:eastAsia="Calibri" w:hAnsi="Calibri"/>
          <w:sz w:val="22"/>
          <w:szCs w:val="22"/>
        </w:rPr>
        <w:t xml:space="preserve">The physical engine and chassis/VIN numbers were compared with the CR and are represented as matching without unexplained alteration. No known LTO/PNP-HPG alarm, carnapping report, seizure, hold, duplicate registration, or unresolved ownership dispute exists. No special imported-vehicle record issue was disclosed.</w:t>
      </w:r>
    </w:p>
    <w:p>
      <w:pPr>
        <w:pStyle w:val="Heading2"/>
        <w:keepNext/>
        <w:spacing w:after="120" w:before="240"/>
      </w:pPr>
      <w:r>
        <w:rPr>
          <w:rFonts w:ascii="Calibri" w:cs="Calibri" w:eastAsia="Calibri" w:hAnsi="Calibri"/>
          <w:b/>
          <w:bCs/>
          <w:color w:val="102B3F"/>
          <w:sz w:val="26"/>
          <w:szCs w:val="26"/>
        </w:rPr>
        <w:t xml:space="preserve">CONDITION, DISCLOSURE, AND INSPECTION</w:t>
      </w:r>
    </w:p>
    <w:p>
      <w:pPr>
        <w:keepLines/>
        <w:spacing w:after="120" w:line="264"/>
        <w:jc w:val="both"/>
      </w:pPr>
      <w:r>
        <w:rPr>
          <w:rFonts w:ascii="Calibri" w:cs="Calibri" w:eastAsia="Calibri" w:hAnsi="Calibri"/>
          <w:sz w:val="22"/>
          <w:szCs w:val="22"/>
        </w:rPr>
        <w:t xml:space="preserve">Present condition: Used and operational, with normal cosmetic wear; engine, transmission, brakes, lights, tires, air-conditioning, safety systems, body, and interior inspected before signing</w:t>
      </w:r>
    </w:p>
    <w:p>
      <w:pPr>
        <w:keepLines/>
        <w:spacing w:after="120" w:line="264"/>
        <w:jc w:val="both"/>
      </w:pPr>
      <w:r>
        <w:rPr>
          <w:rFonts w:ascii="Calibri" w:cs="Calibri" w:eastAsia="Calibri" w:hAnsi="Calibri"/>
          <w:sz w:val="22"/>
          <w:szCs w:val="22"/>
        </w:rPr>
        <w:t xml:space="preserve">Known defects and limitations: Minor paint scratch on the right rear door and no other defect known after reasonable inquiry Accident/structural history: No accident or structural repair known to the Seller after review of maintenance and insurance records Flood/submersion history: No flood or submersion history known to the Seller after reasonable inquiry Modifications: No material modification from the registered and manufacturer configuration known to the Seller</w:t>
      </w:r>
    </w:p>
    <w:p>
      <w:pPr>
        <w:keepLines/>
        <w:spacing w:after="120" w:line="264"/>
        <w:jc w:val="both"/>
      </w:pPr>
      <w:r>
        <w:rPr>
          <w:rFonts w:ascii="Calibri" w:cs="Calibri" w:eastAsia="Calibri" w:hAnsi="Calibri"/>
          <w:sz w:val="22"/>
          <w:szCs w:val="22"/>
        </w:rPr>
        <w:t xml:space="preserve">Inspection: buyer inspected; road test: completed. The Buyer accepts visible and specifically disclosed condition after the stated opportunity to inspect. Nothing in this Agreement excuses fraud, concealment, bad faith, lack of title, an undisclosed encumbrance, or a mandatory warranty or consumer remedy.</w:t>
      </w:r>
    </w:p>
    <w:p>
      <w:pPr>
        <w:keepLines/>
        <w:spacing w:after="120" w:line="264"/>
        <w:jc w:val="both"/>
      </w:pPr>
      <w:r>
        <w:rPr>
          <w:rFonts w:ascii="Calibri" w:cs="Calibri" w:eastAsia="Calibri" w:hAnsi="Calibri"/>
          <w:sz w:val="22"/>
          <w:szCs w:val="22"/>
        </w:rPr>
        <w:t xml:space="preserve">No additional voluntary mechanical warranty is given beyond the Seller's express factual statements and rights or warranties that applicable law does not validly exclude.</w:t>
      </w:r>
    </w:p>
    <w:p>
      <w:pPr>
        <w:pStyle w:val="Heading2"/>
        <w:keepNext/>
        <w:spacing w:after="120" w:before="240"/>
      </w:pPr>
      <w:r>
        <w:rPr>
          <w:rFonts w:ascii="Calibri" w:cs="Calibri" w:eastAsia="Calibri" w:hAnsi="Calibri"/>
          <w:b/>
          <w:bCs/>
          <w:color w:val="102B3F"/>
          <w:sz w:val="26"/>
          <w:szCs w:val="26"/>
        </w:rPr>
        <w:t xml:space="preserve">POSSESSION, RISK, USE, AND INSURANCE</w:t>
      </w:r>
    </w:p>
    <w:p>
      <w:pPr>
        <w:keepLines/>
        <w:spacing w:after="120" w:line="264"/>
        <w:jc w:val="both"/>
      </w:pPr>
      <w:r>
        <w:rPr>
          <w:rFonts w:ascii="Calibri" w:cs="Calibri" w:eastAsia="Calibri" w:hAnsi="Calibri"/>
          <w:sz w:val="22"/>
          <w:szCs w:val="22"/>
        </w:rPr>
        <w:t xml:space="preserve">Physical possession and operational custody pass at signing on August 31, 2026 at Seller's residence at 100 Ayala Avenue, Makati City, after cleared down payment, the agreed inspection, and the Seller's delivery of proof of PPSR registration. The Seller delivers 2 key(s)/remote(s) and these included items: Two keys, installed license plates, standard tools, and all loose accessories shown during inspection.</w:t>
      </w:r>
    </w:p>
    <w:p>
      <w:pPr>
        <w:keepLines/>
        <w:spacing w:after="120" w:line="264"/>
        <w:jc w:val="both"/>
      </w:pPr>
      <w:r>
        <w:rPr>
          <w:rFonts w:ascii="Calibri" w:cs="Calibri" w:eastAsia="Calibri" w:hAnsi="Calibri"/>
          <w:sz w:val="22"/>
          <w:szCs w:val="22"/>
        </w:rPr>
        <w:t xml:space="preserve">From documented turnover, the Buyer bears ordinary safekeeping, lawful-use, traffic, maintenance, registration, and operating responsibility, without shifting a pre-turnover defect, title breach, fraud, concealment, or mandatory seller liability. The public registered-owner rule and rights of injured third persons are not limited by this private allocation.</w:t>
      </w:r>
    </w:p>
    <w:p>
      <w:pPr>
        <w:keepLines/>
        <w:spacing w:after="120" w:line="264"/>
        <w:jc w:val="both"/>
      </w:pPr>
      <w:r>
        <w:rPr>
          <w:rFonts w:ascii="Calibri" w:cs="Calibri" w:eastAsia="Calibri" w:hAnsi="Calibri"/>
          <w:sz w:val="22"/>
          <w:szCs w:val="22"/>
        </w:rPr>
        <w:t xml:space="preserve">Insurance plan: The Buyer will maintain comprehensive insurance, identify the Seller's secured interest where accepted, provide renewal proof before expiry, and apply loss proceeds according to law and the security agreement. Insurance does not replace the Buyer's payment duty except to the extent proceeds are actually received and lawfully credited. Any surplus, shortfall, repair decision, or total-loss treatment must be accounted for under the policy, security agreement, Article 1484, and applicable law.</w:t>
      </w:r>
    </w:p>
    <w:p>
      <w:pPr>
        <w:pStyle w:val="Heading2"/>
        <w:keepNext/>
        <w:spacing w:after="120" w:before="240"/>
      </w:pPr>
      <w:r>
        <w:rPr>
          <w:rFonts w:ascii="Calibri" w:cs="Calibri" w:eastAsia="Calibri" w:hAnsi="Calibri"/>
          <w:b/>
          <w:bCs/>
          <w:color w:val="102B3F"/>
          <w:sz w:val="26"/>
          <w:szCs w:val="26"/>
        </w:rPr>
        <w:t xml:space="preserve">PAYMENT, PREPAYMENT, DELAY, AND NOTICE</w:t>
      </w:r>
    </w:p>
    <w:p>
      <w:pPr>
        <w:keepLines/>
        <w:spacing w:after="120" w:line="264"/>
        <w:jc w:val="both"/>
      </w:pPr>
      <w:r>
        <w:rPr>
          <w:rFonts w:ascii="Calibri" w:cs="Calibri" w:eastAsia="Calibri" w:hAnsi="Calibri"/>
          <w:sz w:val="22"/>
          <w:szCs w:val="22"/>
        </w:rPr>
        <w:t xml:space="preserve">Payments are due without a separate demand on the schedule dates, but the Seller shall maintain an accurate ledger and provide a receipt. Grace period: 3 calendar day(s). Disclosed late charge: none. A charge shall not compound, exceed a lawful or conscionable amount, duplicate actual costs, or be imposed when the delay is attributable to the Seller's unavailable or changed payment channel.</w:t>
      </w:r>
    </w:p>
    <w:p>
      <w:pPr>
        <w:keepLines/>
        <w:spacing w:after="120" w:line="264"/>
        <w:jc w:val="both"/>
      </w:pPr>
      <w:r>
        <w:rPr>
          <w:rFonts w:ascii="Calibri" w:cs="Calibri" w:eastAsia="Calibri" w:hAnsi="Calibri"/>
          <w:sz w:val="22"/>
          <w:szCs w:val="22"/>
        </w:rPr>
        <w:t xml:space="preserve">The Buyer may prepay all or part of the scheduled balance without a hidden prepayment penalty. The Seller shall promptly provide a written payoff statement and credit unearned finance charges, rebates, insurance refunds, or other amounts as applicable law and the parties' disclosed pricing require.</w:t>
      </w:r>
    </w:p>
    <w:p>
      <w:pPr>
        <w:keepLines/>
        <w:spacing w:after="120" w:line="264"/>
        <w:jc w:val="both"/>
      </w:pPr>
      <w:r>
        <w:rPr>
          <w:rFonts w:ascii="Calibri" w:cs="Calibri" w:eastAsia="Calibri" w:hAnsi="Calibri"/>
          <w:sz w:val="22"/>
          <w:szCs w:val="22"/>
        </w:rPr>
        <w:t xml:space="preserve">Before electing an available default remedy, the Seller shall give a fact-specific written notice stating the missed installment(s), dates, credited payments, charges, cure amount, records, and a cure period of 10 calendar days from proven receipt. An honest payment dispute, refused tender, system error, insurance process, or requested ledger correction shall be evaluated before escalation.</w:t>
      </w:r>
    </w:p>
    <w:p>
      <w:pPr>
        <w:pStyle w:val="Heading2"/>
        <w:keepNext/>
        <w:spacing w:after="120" w:before="240"/>
      </w:pPr>
      <w:r>
        <w:rPr>
          <w:rFonts w:ascii="Calibri" w:cs="Calibri" w:eastAsia="Calibri" w:hAnsi="Calibri"/>
          <w:b/>
          <w:bCs/>
          <w:color w:val="102B3F"/>
          <w:sz w:val="26"/>
          <w:szCs w:val="26"/>
        </w:rPr>
        <w:t xml:space="preserve">DEFAULT AND ALTERNATIVE REMEDIES</w:t>
      </w:r>
    </w:p>
    <w:p>
      <w:pPr>
        <w:keepLines/>
        <w:spacing w:after="120" w:line="264"/>
        <w:jc w:val="both"/>
      </w:pPr>
      <w:r>
        <w:rPr>
          <w:rFonts w:ascii="Calibri" w:cs="Calibri" w:eastAsia="Calibri" w:hAnsi="Calibri"/>
          <w:sz w:val="22"/>
          <w:szCs w:val="22"/>
        </w:rPr>
        <w:t xml:space="preserve">Article 1484 controls the Seller's remedies for this personal-property installment sale. On a payment default the Seller may elect exact fulfillment; cancellation is available only when the failure covers two or more installments; and enforcement or foreclosure of the security over the Vehicle is available only when the failure covers two or more installments and the required security and procedure exist. These remedies are alternative where law makes them alternative, and an election or substantial pursuit of one cannot be combined with another to obtain a prohibited double recovery.</w:t>
      </w:r>
    </w:p>
    <w:p>
      <w:pPr>
        <w:keepLines/>
        <w:spacing w:after="120" w:line="264"/>
        <w:jc w:val="both"/>
      </w:pPr>
      <w:r>
        <w:rPr>
          <w:rFonts w:ascii="Calibri" w:cs="Calibri" w:eastAsia="Calibri" w:hAnsi="Calibri"/>
          <w:sz w:val="22"/>
          <w:szCs w:val="22"/>
        </w:rPr>
        <w:t xml:space="preserve">No contractual acceleration is elected by this template; exact fulfillment remains limited to amounts lawfully due unless the parties later make a valid written arrangement. No internal label, ledger entry, or automatic clause itself cancels the sale, transfers possession, or proves entitlement to a remedy.</w:t>
      </w:r>
    </w:p>
    <w:p>
      <w:pPr>
        <w:keepLines/>
        <w:spacing w:after="120" w:line="264"/>
        <w:jc w:val="both"/>
      </w:pPr>
      <w:r>
        <w:rPr>
          <w:rFonts w:ascii="Calibri" w:cs="Calibri" w:eastAsia="Calibri" w:hAnsi="Calibri"/>
          <w:sz w:val="22"/>
          <w:szCs w:val="22"/>
        </w:rPr>
        <w:t xml:space="preserve">If the Seller elects covered foreclosure or equivalent enforcement against the Vehicle, any Article 1484 prohibition on a further action for the unpaid balance controls, and a contrary deficiency clause is void. If the Seller elects cancellation, treatment of prior installments remains subject to Article 1486 and the rule against unconscionability. The Seller must account for every payment, lawful charge, collateral disposition, proceeds, surplus, rebate, and credit.</w:t>
      </w:r>
    </w:p>
    <w:p>
      <w:pPr>
        <w:keepLines/>
        <w:spacing w:after="120" w:line="264"/>
        <w:jc w:val="both"/>
      </w:pPr>
      <w:r>
        <w:rPr>
          <w:rFonts w:ascii="Calibri" w:cs="Calibri" w:eastAsia="Calibri" w:hAnsi="Calibri"/>
          <w:sz w:val="22"/>
          <w:szCs w:val="22"/>
        </w:rPr>
        <w:t xml:space="preserve">Possession may be recovered only through the Buyer's voluntary, informed, separately documented peaceful surrender after default or through lawful judicial or statutory enforcement. The Seller and agents may not use force, threat, trespass, deception, harassment, public shaming, unlawful tracking, credential misuse, or breach of peace. Under the PPSA, a proposal to retain collateral in full satisfaction is subject to written notice and objection within twenty (20) days, while partial satisfaction requires each entitled addressee's affirmative written consent; the current statutory procedure controls. For this installment sale, enforcement against the Vehicle extinguishes any further claim for the unpaid price (Civil Code Article 1484(3)), so retention in partial satisfaction cannot be used to recover a balance.</w:t>
      </w:r>
    </w:p>
    <w:p>
      <w:pPr>
        <w:pStyle w:val="Heading2"/>
        <w:keepNext/>
        <w:spacing w:after="120" w:before="240"/>
      </w:pPr>
      <w:r>
        <w:rPr>
          <w:rFonts w:ascii="Calibri" w:cs="Calibri" w:eastAsia="Calibri" w:hAnsi="Calibri"/>
          <w:b/>
          <w:bCs/>
          <w:color w:val="102B3F"/>
          <w:sz w:val="26"/>
          <w:szCs w:val="26"/>
        </w:rPr>
        <w:t xml:space="preserve">LTO AND PNP-HPG TRANSFER</w:t>
      </w:r>
    </w:p>
    <w:p>
      <w:pPr>
        <w:keepLines/>
        <w:spacing w:after="120" w:line="264"/>
        <w:jc w:val="both"/>
      </w:pPr>
      <w:r>
        <w:rPr>
          <w:rFonts w:ascii="Calibri" w:cs="Calibri" w:eastAsia="Calibri" w:hAnsi="Calibri"/>
          <w:sz w:val="22"/>
          <w:szCs w:val="22"/>
        </w:rPr>
        <w:t xml:space="preserve">The Buyer shall promptly register the transfer through LTO Makati District Office, subject to written jurisdiction confirmation and the proper PNP-HPG process, using the current official requirements. Planned records include: original current CR/CRE, latest registration OR, 4 complete original notarized deeds, acceptable photo/signature IDs of both parties, PNP-HPG clearance for transfer, MVIR or accepted inspection report, electronically transmitted insurance COC if required.</w:t>
      </w:r>
    </w:p>
    <w:p>
      <w:pPr>
        <w:keepLines/>
        <w:spacing w:after="120" w:line="264"/>
        <w:jc w:val="both"/>
      </w:pPr>
      <w:r>
        <w:rPr>
          <w:rFonts w:ascii="Calibri" w:cs="Calibri" w:eastAsia="Calibri" w:hAnsi="Calibri"/>
          <w:sz w:val="22"/>
          <w:szCs w:val="22"/>
        </w:rPr>
        <w:t xml:space="preserve">Under Section 8 of Republic Act No. 10883, the sale, transfer, or conveyance must be registered with LTO within twenty working days after the legally operative purchase or acquisition event. The parties will not treat this Agreement alone as completion of the LTO transfer.</w:t>
      </w:r>
    </w:p>
    <w:p>
      <w:pPr>
        <w:keepLines/>
        <w:spacing w:after="120" w:line="264"/>
        <w:jc w:val="both"/>
      </w:pPr>
      <w:r>
        <w:rPr>
          <w:rFonts w:ascii="Calibri" w:cs="Calibri" w:eastAsia="Calibri" w:hAnsi="Calibri"/>
          <w:sz w:val="22"/>
          <w:szCs w:val="22"/>
        </w:rPr>
        <w:t xml:space="preserve">Official transfer, HPG, inspection, registration, insurance, and related charges are borne by the buyer. Each party shall promptly provide genuine signatures, IDs, authority records, confirmations, and reasonable cooperation required for the lawful transfer.</w:t>
      </w:r>
    </w:p>
    <w:p>
      <w:pPr>
        <w:keepLines/>
        <w:spacing w:after="120" w:line="264"/>
        <w:jc w:val="both"/>
      </w:pPr>
      <w:r>
        <w:rPr>
          <w:rFonts w:ascii="Calibri" w:cs="Calibri" w:eastAsia="Calibri" w:hAnsi="Calibri"/>
          <w:sz w:val="22"/>
          <w:szCs w:val="22"/>
        </w:rPr>
        <w:t xml:space="preserve">Before the LTO record is changed, the Seller may remain exposed to investigation or civil claims under the registered-owner rule. Any indemnity between the parties does not defeat rights of the public or third persons. The Buyer shall not operate, resell, encumber, alter identifiers, or represent the Vehicle as registered in the Buyer's name contrary to current law and records.</w:t>
      </w:r>
    </w:p>
    <w:p>
      <w:pPr>
        <w:pStyle w:val="Heading2"/>
        <w:keepNext/>
        <w:spacing w:after="120" w:before="240"/>
      </w:pPr>
      <w:r>
        <w:rPr>
          <w:rFonts w:ascii="Calibri" w:cs="Calibri" w:eastAsia="Calibri" w:hAnsi="Calibri"/>
          <w:b/>
          <w:bCs/>
          <w:color w:val="102B3F"/>
          <w:sz w:val="26"/>
          <w:szCs w:val="26"/>
        </w:rPr>
        <w:t xml:space="preserve">GENERAL TERMS</w:t>
      </w:r>
    </w:p>
    <w:p>
      <w:pPr>
        <w:keepLines/>
        <w:spacing w:after="120" w:line="264"/>
        <w:jc w:val="both"/>
      </w:pPr>
      <w:r>
        <w:rPr>
          <w:rFonts w:ascii="Calibri" w:cs="Calibri" w:eastAsia="Calibri" w:hAnsi="Calibri"/>
          <w:sz w:val="22"/>
          <w:szCs w:val="22"/>
        </w:rPr>
        <w:t xml:space="preserve">Entire agreement and special terms: this Agreement, its genuine attachments, and these additional terms form the complete agreement: [NONE]. A schedule, security record, receipt, turnover record, and any lawful signed change must be in a written instrument signed by the affected parties and must not facilitate a blank or open deed.</w:t>
      </w:r>
    </w:p>
    <w:p>
      <w:pPr>
        <w:keepLines/>
        <w:spacing w:after="120" w:line="264"/>
        <w:jc w:val="both"/>
      </w:pPr>
      <w:r>
        <w:rPr>
          <w:rFonts w:ascii="Calibri" w:cs="Calibri" w:eastAsia="Calibri" w:hAnsi="Calibri"/>
          <w:sz w:val="22"/>
          <w:szCs w:val="22"/>
        </w:rPr>
        <w:t xml:space="preserve">If a lawful provision is unenforceable, it is limited to the minimum extent necessary without validating an unlawful transfer. Philippine law governs, subject to mandatory LTO, PNP-HPG, registration, consumer, family-property, tax, and public-safety rules.</w:t>
      </w:r>
    </w:p>
    <w:p>
      <w:pPr>
        <w:pStyle w:val="Heading2"/>
        <w:keepNext/>
        <w:spacing w:after="120" w:before="240"/>
      </w:pPr>
      <w:r>
        <w:rPr>
          <w:rFonts w:ascii="Calibri" w:cs="Calibri" w:eastAsia="Calibri" w:hAnsi="Calibri"/>
          <w:b/>
          <w:bCs/>
          <w:color w:val="102B3F"/>
          <w:sz w:val="26"/>
          <w:szCs w:val="26"/>
        </w:rPr>
        <w:t xml:space="preserve">NOTICE TO THE BUYER (CONSUMER ACT, ARTICLE 146)</w:t>
      </w:r>
    </w:p>
    <w:p>
      <w:pPr>
        <w:keepLines/>
        <w:spacing w:after="120" w:line="264"/>
        <w:jc w:val="both"/>
      </w:pPr>
      <w:r>
        <w:rPr>
          <w:rFonts w:ascii="Calibri" w:cs="Calibri" w:eastAsia="Calibri" w:hAnsi="Calibri"/>
          <w:sz w:val="22"/>
          <w:szCs w:val="22"/>
        </w:rPr>
        <w:t xml:space="preserve">1. DO NOT SIGN THIS AGREEMENT IF IT CONTAINS ANY BLANK SPACE.</w:t>
      </w:r>
    </w:p>
    <w:p>
      <w:pPr>
        <w:keepLines/>
        <w:spacing w:after="120" w:line="264"/>
        <w:jc w:val="both"/>
      </w:pPr>
      <w:r>
        <w:rPr>
          <w:rFonts w:ascii="Calibri" w:cs="Calibri" w:eastAsia="Calibri" w:hAnsi="Calibri"/>
          <w:sz w:val="22"/>
          <w:szCs w:val="22"/>
        </w:rPr>
        <w:t xml:space="preserve">2. YOU ARE ENTITLED TO A REASONABLE RETURN (REBATE) OF THE PRECOMPUTED FINANCE CHARGE IF YOU PREPAY THE BALANCE.</w:t>
      </w:r>
    </w:p>
    <w:p>
      <w:pPr>
        <w:keepLines/>
        <w:spacing w:after="120" w:line="264"/>
        <w:jc w:val="both"/>
      </w:pPr>
      <w:r>
        <w:rPr>
          <w:rFonts w:ascii="Calibri" w:cs="Calibri" w:eastAsia="Calibri" w:hAnsi="Calibri"/>
          <w:sz w:val="22"/>
          <w:szCs w:val="22"/>
        </w:rPr>
        <w:t xml:space="preserve">3. YOU ARE ENTITLED TO AN EXACT, TRUE COPY OF THIS AGREEMENT.</w:t>
      </w:r>
    </w:p>
    <w:p>
      <w:pPr>
        <w:keepNext/>
        <w:spacing w:after="260" w:before="360"/>
      </w:pPr>
      <w:r>
        <w:rPr>
          <w:rFonts w:ascii="Calibri" w:cs="Calibri" w:eastAsia="Calibri" w:hAnsi="Calibri"/>
          <w:b/>
          <w:bCs/>
          <w:sz w:val="22"/>
          <w:szCs w:val="22"/>
        </w:rPr>
        <w:t xml:space="preserve">IN WITNESS WHEREOF, the parties shall sign this complete Agreement on August 31, 2026 at Makati City, Philippines, and acknowledge it before the authorized notarial officer.</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Maria Elena Santos</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Seller / Registered owner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Roberto Dela Cruz</w:t>
            </w:r>
          </w:p>
          <w:p>
            <w:pPr>
              <w:spacing w:after="120"/>
            </w:pPr>
            <w:r>
              <w:rPr>
                <w:rFonts w:ascii="Calibri" w:cs="Calibri" w:eastAsia="Calibri" w:hAnsi="Calibri"/>
                <w:sz w:val="22"/>
                <w:szCs w:val="22"/>
              </w:rPr>
              <w:t xml:space="preserve">Signature over printed name: ______________________________</w:t>
            </w:r>
          </w:p>
          <w:p>
            <w:pPr>
              <w:spacing w:after="120"/>
            </w:pPr>
            <w:r>
              <w:rPr>
                <w:rFonts w:ascii="Calibri" w:cs="Calibri" w:eastAsia="Calibri" w:hAnsi="Calibri"/>
                <w:sz w:val="22"/>
                <w:szCs w:val="22"/>
              </w:rPr>
              <w:t xml:space="preserve">Buyer / Intended registered transferee</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AUTHORIZED NOTARIAL OFFICER TO COMPLETE</w:t>
      </w:r>
    </w:p>
    <w:p>
      <w:pPr>
        <w:keepLines/>
        <w:spacing w:after="120" w:line="264"/>
        <w:jc w:val="both"/>
      </w:pPr>
      <w:r>
        <w:rPr>
          <w:rFonts w:ascii="Calibri" w:cs="Calibri" w:eastAsia="Calibri" w:hAnsi="Calibri"/>
          <w:sz w:val="22"/>
          <w:szCs w:val="22"/>
        </w:rPr>
        <w:t xml:space="preserve">BEFORE ME, a Notary Public for and in Makati City, Philippines, on __________________, personally appeared Maria Elena Santos, Roberto Dela Cruz, identified through the Seller/signatory ID (Current government-issued photo ID) and Buyer/signatory ID (Current government-issued photo ID), with numbers, issue details, and validity recorded by me, and acknowledged this complete Installment Vehicle Sale Agreement and Payment Acknowledgment as their free and voluntary act and deed and, where applicable, the act and deed of the represented entity or principal.</w:t>
      </w:r>
    </w:p>
    <w:p>
      <w:pPr>
        <w:keepLines/>
        <w:spacing w:after="120" w:line="264"/>
        <w:jc w:val="both"/>
      </w:pPr>
      <w:r>
        <w:rPr>
          <w:rFonts w:ascii="Calibri" w:cs="Calibri" w:eastAsia="Calibri" w:hAnsi="Calibri"/>
          <w:sz w:val="22"/>
          <w:szCs w:val="22"/>
        </w:rPr>
        <w:t xml:space="preserve">NOTARY PUBLIC
Notary Public for __________________ until December 31, ______
Commission No.: __________________
PTR / IBP / Roll details: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Register the PPSR notice before turnover and hand the Buyer the registration record; the Buyer should not take the vehicle until then.</w:t>
      </w:r>
    </w:p>
    <w:p>
      <w:pPr>
        <w:pStyle w:val="ListParagraph"/>
        <w:keepNext/>
        <w:numPr>
          <w:ilvl w:val="0"/>
          <w:numId w:val="1"/>
        </w:numPr>
        <w:spacing w:after="120" w:line="264"/>
      </w:pPr>
      <w:r>
        <w:rPr>
          <w:rFonts w:ascii="Calibri" w:cs="Calibri" w:eastAsia="Calibri" w:hAnsi="Calibri"/>
          <w:sz w:val="22"/>
          <w:szCs w:val="22"/>
        </w:rPr>
        <w:t xml:space="preserve">Confirm with a BIR office or tax adviser whether documentary stamp tax applies to this installment instrument and its security interest, and who pays it (NIRC Sec. 179 as amended by RA 12214).</w:t>
      </w:r>
    </w:p>
    <w:p>
      <w:pPr>
        <w:pStyle w:val="ListParagraph"/>
        <w:keepNext/>
        <w:numPr>
          <w:ilvl w:val="0"/>
          <w:numId w:val="1"/>
        </w:numPr>
        <w:spacing w:after="120" w:line="264"/>
      </w:pPr>
      <w:r>
        <w:rPr>
          <w:rFonts w:ascii="Calibri" w:cs="Calibri" w:eastAsia="Calibri" w:hAnsi="Calibri"/>
          <w:sz w:val="22"/>
          <w:szCs w:val="22"/>
        </w:rPr>
        <w:t xml:space="preserve">Ask the intended LTO district office whether it accepts this installment agreement as the deed of sale for transfer of ownership; if not, sign a separate notarized deed of sale together with this security agreement.</w:t>
      </w:r>
    </w:p>
    <w:p>
      <w:pPr>
        <w:pStyle w:val="ListParagraph"/>
        <w:keepNext/>
        <w:numPr>
          <w:ilvl w:val="0"/>
          <w:numId w:val="1"/>
        </w:numPr>
        <w:spacing w:after="120" w:line="264"/>
      </w:pPr>
      <w:r>
        <w:rPr>
          <w:rFonts w:ascii="Calibri" w:cs="Calibri" w:eastAsia="Calibri" w:hAnsi="Calibri"/>
          <w:sz w:val="22"/>
          <w:szCs w:val="22"/>
        </w:rPr>
        <w:t xml:space="preserve">Consumer credit sale: give the Buyer the disclosure statement, keep the bold Article 146 notice in the signed agreement, charge no late fee until after the tenth day following a due date (Consumer Act Art. 134), and hand the Buyer an exact copy.</w:t>
      </w:r>
    </w:p>
    <w:p>
      <w:pPr>
        <w:pStyle w:val="ListParagraph"/>
        <w:keepNext/>
        <w:numPr>
          <w:ilvl w:val="0"/>
          <w:numId w:val="1"/>
        </w:numPr>
        <w:spacing w:after="120" w:line="264"/>
      </w:pPr>
      <w:r>
        <w:rPr>
          <w:rFonts w:ascii="Calibri" w:cs="Calibri" w:eastAsia="Calibri" w:hAnsi="Calibri"/>
          <w:sz w:val="22"/>
          <w:szCs w:val="22"/>
        </w:rPr>
        <w:t xml:space="preserve">Deliver the complete cash-price, down-payment, amount-financed, itemized-charge, finance-charge, annual-rate, installment-schedule, and total-payment record before signing; a covered creditor must use the currently required disclosure form and calculation.</w:t>
      </w:r>
    </w:p>
    <w:p>
      <w:pPr>
        <w:pStyle w:val="ListParagraph"/>
        <w:keepNext/>
        <w:numPr>
          <w:ilvl w:val="0"/>
          <w:numId w:val="1"/>
        </w:numPr>
        <w:spacing w:after="120" w:line="264"/>
      </w:pPr>
      <w:r>
        <w:rPr>
          <w:rFonts w:ascii="Calibri" w:cs="Calibri" w:eastAsia="Calibri" w:hAnsi="Calibri"/>
          <w:sz w:val="22"/>
          <w:szCs w:val="22"/>
        </w:rPr>
        <w:t xml:space="preserve">Recompute the schedule independently from centavos, confirm the final rounding adjustment, and attach the exact signed schedule to every original. Never sign a blank note, receipt, deed, security record, or repossession authority.</w:t>
      </w:r>
    </w:p>
    <w:p>
      <w:pPr>
        <w:pStyle w:val="ListParagraph"/>
        <w:keepNext/>
        <w:numPr>
          <w:ilvl w:val="0"/>
          <w:numId w:val="1"/>
        </w:numPr>
        <w:spacing w:after="120" w:line="264"/>
      </w:pPr>
      <w:r>
        <w:rPr>
          <w:rFonts w:ascii="Calibri" w:cs="Calibri" w:eastAsia="Calibri" w:hAnsi="Calibri"/>
          <w:sz w:val="22"/>
          <w:szCs w:val="22"/>
        </w:rPr>
        <w:t xml:space="preserve">Register the transfer with LTO within the legally applicable period and complete the purchase-money security, PPSR, and any LTO/registry annotation steps promptly; verify priority rather than assuming possession or the CR alone perfects the interest.</w:t>
      </w:r>
    </w:p>
    <w:p>
      <w:pPr>
        <w:pStyle w:val="ListParagraph"/>
        <w:keepNext/>
        <w:numPr>
          <w:ilvl w:val="0"/>
          <w:numId w:val="1"/>
        </w:numPr>
        <w:spacing w:after="120" w:line="264"/>
      </w:pPr>
      <w:r>
        <w:rPr>
          <w:rFonts w:ascii="Calibri" w:cs="Calibri" w:eastAsia="Calibri" w:hAnsi="Calibri"/>
          <w:sz w:val="22"/>
          <w:szCs w:val="22"/>
        </w:rPr>
        <w:t xml:space="preserve">After every payment, issue a dated receipt and updated ledger showing amount, installment, allocation, charges, and balance. Reconcile any difference before declaring default.</w:t>
      </w:r>
    </w:p>
    <w:p>
      <w:pPr>
        <w:pStyle w:val="ListParagraph"/>
        <w:keepNext/>
        <w:numPr>
          <w:ilvl w:val="0"/>
          <w:numId w:val="1"/>
        </w:numPr>
        <w:spacing w:after="120" w:line="264"/>
      </w:pPr>
      <w:r>
        <w:rPr>
          <w:rFonts w:ascii="Calibri" w:cs="Calibri" w:eastAsia="Calibri" w:hAnsi="Calibri"/>
          <w:sz w:val="22"/>
          <w:szCs w:val="22"/>
        </w:rPr>
        <w:t xml:space="preserve">Do not repossess through force, threat, deception, trespass, harassment, credential misuse, or breach of peace. Obtain case-specific advice before electing fulfillment, cancellation, or security enforcement because the election affects later remedies and any deficiency claim.</w:t>
      </w:r>
    </w:p>
    <w:p>
      <w:pPr>
        <w:pStyle w:val="ListParagraph"/>
        <w:keepNext/>
        <w:numPr>
          <w:ilvl w:val="0"/>
          <w:numId w:val="1"/>
        </w:numPr>
        <w:spacing w:after="120" w:line="264"/>
      </w:pPr>
      <w:r>
        <w:rPr>
          <w:rFonts w:ascii="Calibri" w:cs="Calibri" w:eastAsia="Calibri" w:hAnsi="Calibri"/>
          <w:sz w:val="22"/>
          <w:szCs w:val="22"/>
        </w:rPr>
        <w:t xml:space="preserve">Do not sign or notarize with a blank buyer, price, date, engine/chassis number, CR/OR reference, signature page, or acknowledgment. Never circulate an open deed for later resale.</w:t>
      </w:r>
    </w:p>
    <w:p>
      <w:pPr>
        <w:pStyle w:val="ListParagraph"/>
        <w:keepNext/>
        <w:numPr>
          <w:ilvl w:val="0"/>
          <w:numId w:val="1"/>
        </w:numPr>
        <w:spacing w:after="120" w:line="264"/>
      </w:pPr>
      <w:r>
        <w:rPr>
          <w:rFonts w:ascii="Calibri" w:cs="Calibri" w:eastAsia="Calibri" w:hAnsi="Calibri"/>
          <w:sz w:val="22"/>
          <w:szCs w:val="22"/>
        </w:rPr>
        <w:t xml:space="preserve">Search the LRA Personal Property Security Registry (PPSR) for security interests registered against the Seller and the Vehicle; since RA 11057, a chattel mortgage or security interest is perfected by PPSR registration, so the CR annotation alone is not enough.</w:t>
      </w:r>
    </w:p>
    <w:p>
      <w:pPr>
        <w:pStyle w:val="ListParagraph"/>
        <w:keepNext/>
        <w:numPr>
          <w:ilvl w:val="0"/>
          <w:numId w:val="1"/>
        </w:numPr>
        <w:spacing w:after="120" w:line="264"/>
      </w:pPr>
      <w:r>
        <w:rPr>
          <w:rFonts w:ascii="Calibri" w:cs="Calibri" w:eastAsia="Calibri" w:hAnsi="Calibri"/>
          <w:sz w:val="22"/>
          <w:szCs w:val="22"/>
        </w:rPr>
        <w:t xml:space="preserve">LTO Administrative Order No. VDM-2024-046 (anti-open-deed rules) and its penalties were reported held in abeyance on 23 October 2024 pending amendment. Check with LTO whether it has since been amended or reinstated before relying on it.</w:t>
      </w:r>
    </w:p>
    <w:p>
      <w:pPr>
        <w:pStyle w:val="ListParagraph"/>
        <w:keepNext/>
        <w:numPr>
          <w:ilvl w:val="0"/>
          <w:numId w:val="1"/>
        </w:numPr>
        <w:spacing w:after="120" w:line="264"/>
      </w:pPr>
      <w:r>
        <w:rPr>
          <w:rFonts w:ascii="Calibri" w:cs="Calibri" w:eastAsia="Calibri" w:hAnsi="Calibri"/>
          <w:sz w:val="22"/>
          <w:szCs w:val="22"/>
        </w:rPr>
        <w:t xml:space="preserve">Before the down payment or any turnover, compare the current original CR/CRE and latest OR with LTO records, the registered owner, seller authority, plate, MV file, engine, chassis/VIN, classification, annotations, registration status, and physical vehicle. Stop for any mismatch, erasure, restamping, duplicate identity, alarm, hold, or ownership dispute.</w:t>
      </w:r>
    </w:p>
    <w:p>
      <w:pPr>
        <w:pStyle w:val="ListParagraph"/>
        <w:keepNext/>
        <w:numPr>
          <w:ilvl w:val="0"/>
          <w:numId w:val="1"/>
        </w:numPr>
        <w:spacing w:after="120" w:line="264"/>
      </w:pPr>
      <w:r>
        <w:rPr>
          <w:rFonts w:ascii="Calibri" w:cs="Calibri" w:eastAsia="Calibri" w:hAnsi="Calibri"/>
          <w:sz w:val="22"/>
          <w:szCs w:val="22"/>
        </w:rPr>
        <w:t xml:space="preserve">Obtain the current written checklists from the intended LTO office and PNP-HPG unit. Confirm which office must issue CR confirmation, where macro-etching/clearance and inspection occur, document validity periods, insurance transmission, original-copy count, IDs, signatures, and authority attachments.</w:t>
      </w:r>
    </w:p>
    <w:p>
      <w:pPr>
        <w:pStyle w:val="ListParagraph"/>
        <w:keepNext/>
        <w:numPr>
          <w:ilvl w:val="0"/>
          <w:numId w:val="1"/>
        </w:numPr>
        <w:spacing w:after="120" w:line="264"/>
      </w:pPr>
      <w:r>
        <w:rPr>
          <w:rFonts w:ascii="Calibri" w:cs="Calibri" w:eastAsia="Calibri" w:hAnsi="Calibri"/>
          <w:sz w:val="22"/>
          <w:szCs w:val="22"/>
        </w:rPr>
        <w:t xml:space="preserve">Use a traceable payment method, verify the recipient account independently, and exchange cleared down payment, keys, vehicle, signed receipt/invoice, and records only under the agreed simultaneous closing sequence. Do not rely on a screenshot of a pending transfer.</w:t>
      </w:r>
    </w:p>
    <w:p>
      <w:pPr>
        <w:pStyle w:val="ListParagraph"/>
        <w:keepNext/>
        <w:numPr>
          <w:ilvl w:val="0"/>
          <w:numId w:val="1"/>
        </w:numPr>
        <w:spacing w:after="120" w:line="264"/>
      </w:pPr>
      <w:r>
        <w:rPr>
          <w:rFonts w:ascii="Calibri" w:cs="Calibri" w:eastAsia="Calibri" w:hAnsi="Calibri"/>
          <w:sz w:val="22"/>
          <w:szCs w:val="22"/>
        </w:rPr>
        <w:t xml:space="preserve">Do not pre-sign. Every required signatory must bring the complete paper deed and acceptable original photo ID, appear before a duly commissioned notary within the notary's territorial authority, and acknowledge the complete instrument.</w:t>
      </w:r>
    </w:p>
    <w:p>
      <w:pPr>
        <w:pStyle w:val="ListParagraph"/>
        <w:keepNext/>
        <w:numPr>
          <w:ilvl w:val="0"/>
          <w:numId w:val="1"/>
        </w:numPr>
        <w:spacing w:after="120" w:line="264"/>
      </w:pPr>
      <w:r>
        <w:rPr>
          <w:rFonts w:ascii="Calibri" w:cs="Calibri" w:eastAsia="Calibri" w:hAnsi="Calibri"/>
          <w:sz w:val="22"/>
          <w:szCs w:val="22"/>
        </w:rPr>
        <w:t xml:space="preserve">The notarial officer alone completes the acknowledgment, seal, commission, register, document/page/book/series numbers, date, venue, and identity findings. Never backdate or alter them to create a false deadline or transaction history.</w:t>
      </w:r>
    </w:p>
    <w:p>
      <w:pPr>
        <w:pStyle w:val="ListParagraph"/>
        <w:keepNext/>
        <w:numPr>
          <w:ilvl w:val="0"/>
          <w:numId w:val="1"/>
        </w:numPr>
        <w:spacing w:after="120" w:line="264"/>
      </w:pPr>
      <w:r>
        <w:rPr>
          <w:rFonts w:ascii="Calibri" w:cs="Calibri" w:eastAsia="Calibri" w:hAnsi="Calibri"/>
          <w:sz w:val="22"/>
          <w:szCs w:val="22"/>
        </w:rPr>
        <w:t xml:space="preserve">Prepare a signed turnover record with date/time, location, odometer display, photos of all sides and identifiers, keys/items, fuel level, defects, payment reference, and possession. Preserve inspection, HPG, LTO, insurance, communication, and release records.</w:t>
      </w:r>
    </w:p>
    <w:p>
      <w:pPr>
        <w:pStyle w:val="ListParagraph"/>
        <w:keepNext/>
        <w:numPr>
          <w:ilvl w:val="0"/>
          <w:numId w:val="1"/>
        </w:numPr>
        <w:spacing w:after="120" w:line="264"/>
      </w:pPr>
      <w:r>
        <w:rPr>
          <w:rFonts w:ascii="Calibri" w:cs="Calibri" w:eastAsia="Calibri" w:hAnsi="Calibri"/>
          <w:sz w:val="22"/>
          <w:szCs w:val="22"/>
        </w:rPr>
        <w:t xml:space="preserve">The Buyer should secure appropriate insurance and lawful registration before operation. Both parties should track the LTO transfer to completion and obtain the new CR; a filed deed or private indemnity does not by itself change the public record.</w:t>
      </w:r>
    </w:p>
    <w:p>
      <w:pPr>
        <w:pStyle w:val="ListParagraph"/>
        <w:keepNext/>
        <w:numPr>
          <w:ilvl w:val="0"/>
          <w:numId w:val="1"/>
        </w:numPr>
        <w:spacing w:after="120" w:line="264"/>
      </w:pPr>
      <w:r>
        <w:rPr>
          <w:rFonts w:ascii="Calibri" w:cs="Calibri" w:eastAsia="Calibri" w:hAnsi="Calibri"/>
          <w:sz w:val="22"/>
          <w:szCs w:val="22"/>
        </w:rPr>
        <w:t xml:space="preserve">A seller in business (including a dealer or buy-and-sell trader) must issue its BIR-registered invoice for the full price at the sale (BIR RR 7-2024 Sec. 6). An acknowledgment receipt is only supplementary.</w:t>
      </w:r>
    </w:p>
    <w:p>
      <w:pPr>
        <w:pStyle w:val="ListParagraph"/>
        <w:keepNext w:val="false"/>
        <w:numPr>
          <w:ilvl w:val="0"/>
          <w:numId w:val="1"/>
        </w:numPr>
        <w:spacing w:after="120" w:line="264"/>
      </w:pPr>
      <w:r>
        <w:rPr>
          <w:rFonts w:ascii="Calibri" w:cs="Calibri" w:eastAsia="Calibri" w:hAnsi="Calibri"/>
          <w:sz w:val="22"/>
          <w:szCs w:val="22"/>
        </w:rPr>
        <w:t xml:space="preserve">This may be a consumer sale. Preserve the required invoice, written warranty, representations, safety disclosures, and remedies under the Consumer Act and other mandatory law; do not rely on a blanket as-is waiver.</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Republic Act No. 386 — Civil Code - Articles 1484–1486 on alternative installment-sale remedies, two-installment threshold, foreclosure deficiency bar, and installment retention; sale, title, delivery, eviction, and hidden-defect rules (checked 2026-08-31)</w:t>
      </w:r>
    </w:p>
    <w:p>
      <w:pPr>
        <w:spacing w:after="120"/>
      </w:pPr>
      <w:hyperlink w:history="1" r:id="rIdivtzd3gvpser5jjhyfd9e">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Cruz v. Filipinas Investment &amp; Finance Corp., G.R. No. L-24772 (En Banc, May 27, 1968) - Article 1484 remedies are alternative; after foreclosure of the chattel mortgage on the thing sold, the deficiency cannot be recovered from the buyer, nor through a guarantor's or third person's security (checked 2026-10-01)</w:t>
      </w:r>
    </w:p>
    <w:p>
      <w:pPr>
        <w:spacing w:after="120"/>
      </w:pPr>
      <w:hyperlink w:history="1" r:id="rIdakijxrbvzasd7uiqp_k9-">
        <w:r>
          <w:rPr>
            <w:rFonts w:ascii="Calibri" w:cs="Calibri" w:eastAsia="Calibri" w:hAnsi="Calibri"/>
            <w:color w:val="315B75"/>
            <w:sz w:val="17"/>
            <w:szCs w:val="17"/>
            <w:u w:val="single"/>
          </w:rPr>
          <w:t xml:space="preserve">https://lawphil.net/judjuris/juri1968/may1968/gr_l-24772_1968.html</w:t>
        </w:r>
      </w:hyperlink>
    </w:p>
    <w:p>
      <w:pPr>
        <w:keepNext/>
        <w:spacing w:after="60" w:before="100"/>
      </w:pPr>
      <w:r>
        <w:rPr>
          <w:rFonts w:ascii="Calibri" w:cs="Calibri" w:eastAsia="Calibri" w:hAnsi="Calibri"/>
          <w:b/>
          <w:bCs/>
          <w:sz w:val="18"/>
          <w:szCs w:val="18"/>
        </w:rPr>
        <w:t xml:space="preserve">Personal Property Security Act (Republic Act No. 11057) - Purchase-money security interests, creation, perfection, priority, PPSR notices, enforcement, disposition, accounting, and collateral-retention procedure; Sec. 23(a), (b), (d): PMSI priority, including over intervening buyers and lienholders, only if the notice is registered within three business days after the grantor obtains possession (checked 2026-10-01)</w:t>
      </w:r>
    </w:p>
    <w:p>
      <w:pPr>
        <w:spacing w:after="120"/>
      </w:pPr>
      <w:hyperlink w:history="1" r:id="rId1hwjfjghfoq1losobmjmc">
        <w:r>
          <w:rPr>
            <w:rFonts w:ascii="Calibri" w:cs="Calibri" w:eastAsia="Calibri" w:hAnsi="Calibri"/>
            <w:color w:val="315B75"/>
            <w:sz w:val="17"/>
            <w:szCs w:val="17"/>
            <w:u w:val="single"/>
          </w:rPr>
          <w:t xml:space="preserve">https://lawphil.net/statutes/repacts/ra2018/ra_11057_2018.html</w:t>
        </w:r>
      </w:hyperlink>
    </w:p>
    <w:p>
      <w:pPr>
        <w:keepNext/>
        <w:spacing w:after="60" w:before="100"/>
      </w:pPr>
      <w:r>
        <w:rPr>
          <w:rFonts w:ascii="Calibri" w:cs="Calibri" w:eastAsia="Calibri" w:hAnsi="Calibri"/>
          <w:b/>
          <w:bCs/>
          <w:sz w:val="18"/>
          <w:szCs w:val="18"/>
        </w:rPr>
        <w:t xml:space="preserve">Truth in Lending Act (Republic Act No. 3765) - Sec. 4: pre-consummation disclosure of cash price, down payment, charges, amount financed, finance charge, and (Sec. 4(7)) the finance charge as a simple annual rate on the outstanding unpaid balance; Sec. 6 liability (checked 2026-10-01)</w:t>
      </w:r>
    </w:p>
    <w:p>
      <w:pPr>
        <w:spacing w:after="120"/>
      </w:pPr>
      <w:hyperlink w:history="1" r:id="rIddwyxqnyyokdatdvqrbwhw">
        <w:r>
          <w:rPr>
            <w:rFonts w:ascii="Calibri" w:cs="Calibri" w:eastAsia="Calibri" w:hAnsi="Calibri"/>
            <w:color w:val="315B75"/>
            <w:sz w:val="17"/>
            <w:szCs w:val="17"/>
            <w:u w:val="single"/>
          </w:rPr>
          <w:t xml:space="preserve">https://lawphil.net/statutes/repacts/ra1963/ra_3765_1963.html</w:t>
        </w:r>
      </w:hyperlink>
    </w:p>
    <w:p>
      <w:pPr>
        <w:keepNext/>
        <w:spacing w:after="60" w:before="100"/>
      </w:pPr>
      <w:r>
        <w:rPr>
          <w:rFonts w:ascii="Calibri" w:cs="Calibri" w:eastAsia="Calibri" w:hAnsi="Calibri"/>
          <w:b/>
          <w:bCs/>
          <w:sz w:val="18"/>
          <w:szCs w:val="18"/>
        </w:rPr>
        <w:t xml:space="preserve">Consumer Act of the Philippines (Republic Act No. 7394) - Art. 134 (delinquency charge only on an installment unpaid after the tenth day following its due date); Art. 137–138 (prepayment and rebate); Art. 140(f)–(g) (simple annual rate and effective interest rate); Art. 146 (single instrument with a conspicuous typewritten notice to the buyer); warranties and consumer remedies (checked 2026-10-01)</w:t>
      </w:r>
    </w:p>
    <w:p>
      <w:pPr>
        <w:spacing w:after="120"/>
      </w:pPr>
      <w:hyperlink w:history="1" r:id="rIdw3nswhqb7otpfr8mhjilh">
        <w:r>
          <w:rPr>
            <w:rFonts w:ascii="Calibri" w:cs="Calibri" w:eastAsia="Calibri" w:hAnsi="Calibri"/>
            <w:color w:val="315B75"/>
            <w:sz w:val="17"/>
            <w:szCs w:val="17"/>
            <w:u w:val="single"/>
          </w:rPr>
          <w:t xml:space="preserve">https://lawphil.net/statutes/repacts/ra1992/ra_7394_1992.html</w:t>
        </w:r>
      </w:hyperlink>
    </w:p>
    <w:p>
      <w:pPr>
        <w:keepNext/>
        <w:spacing w:after="60" w:before="100"/>
      </w:pPr>
      <w:r>
        <w:rPr>
          <w:rFonts w:ascii="Calibri" w:cs="Calibri" w:eastAsia="Calibri" w:hAnsi="Calibri"/>
          <w:b/>
          <w:bCs/>
          <w:sz w:val="18"/>
          <w:szCs w:val="18"/>
        </w:rPr>
        <w:t xml:space="preserve">Republic Act No. 4136 — Land Transportation and Traffic Code - LTO registration, CR, and transfer authority. Sec. 5(e) (LTO recording of encumbrances) was repealed by RA 11057 Sec. 66(f) (checked 2026-10-01)</w:t>
      </w:r>
    </w:p>
    <w:p>
      <w:pPr>
        <w:spacing w:after="120"/>
      </w:pPr>
      <w:hyperlink w:history="1" r:id="rIdau7dp_5szwl54kwi8cmtp">
        <w:r>
          <w:rPr>
            <w:rFonts w:ascii="Calibri" w:cs="Calibri" w:eastAsia="Calibri" w:hAnsi="Calibri"/>
            <w:color w:val="315B75"/>
            <w:sz w:val="17"/>
            <w:szCs w:val="17"/>
            <w:u w:val="single"/>
          </w:rPr>
          <w:t xml:space="preserve">https://lawphil.net/statutes/repacts/ra1964/ra_4136_1964.html</w:t>
        </w:r>
      </w:hyperlink>
    </w:p>
    <w:p>
      <w:pPr>
        <w:keepNext/>
        <w:spacing w:after="60" w:before="100"/>
      </w:pPr>
      <w:r>
        <w:rPr>
          <w:rFonts w:ascii="Calibri" w:cs="Calibri" w:eastAsia="Calibri" w:hAnsi="Calibri"/>
          <w:b/>
          <w:bCs/>
          <w:sz w:val="18"/>
          <w:szCs w:val="18"/>
        </w:rPr>
        <w:t xml:space="preserve">Republic Act No. 10883 — New Anti-Carnapping Act - Section 8 registration of a motor-vehicle transfer with LTO within twenty working days (checked 2026-08-31)</w:t>
      </w:r>
    </w:p>
    <w:p>
      <w:pPr>
        <w:spacing w:after="120"/>
      </w:pPr>
      <w:hyperlink w:history="1" r:id="rIdveil0twxcuu_j0tbfhsbx">
        <w:r>
          <w:rPr>
            <w:rFonts w:ascii="Calibri" w:cs="Calibri" w:eastAsia="Calibri" w:hAnsi="Calibri"/>
            <w:color w:val="315B75"/>
            <w:sz w:val="17"/>
            <w:szCs w:val="17"/>
            <w:u w:val="single"/>
          </w:rPr>
          <w:t xml:space="preserve">https://elibrary.judiciary.gov.ph/thebookshelf/showdocs/2/70217</w:t>
        </w:r>
      </w:hyperlink>
    </w:p>
    <w:p>
      <w:pPr>
        <w:keepNext/>
        <w:spacing w:after="60" w:before="100"/>
      </w:pPr>
      <w:r>
        <w:rPr>
          <w:rFonts w:ascii="Calibri" w:cs="Calibri" w:eastAsia="Calibri" w:hAnsi="Calibri"/>
          <w:b/>
          <w:bCs/>
          <w:sz w:val="18"/>
          <w:szCs w:val="18"/>
        </w:rPr>
        <w:t xml:space="preserve">Republic Act No. 12209 - New RA 11235 Sec. 4: motorcycle seller report within five working days and new-owner transfer within twenty working days; a motorcycle sold through a dealership (including buy-and-sell) needs a written agreement that the seller retains ownership until full payment, and dealers report repossessions to LTO (checked 2026-10-01)</w:t>
      </w:r>
    </w:p>
    <w:p>
      <w:pPr>
        <w:spacing w:after="120"/>
      </w:pPr>
      <w:hyperlink w:history="1" r:id="rIdnh3ctpxeht1zw74senmq3">
        <w:r>
          <w:rPr>
            <w:rFonts w:ascii="Calibri" w:cs="Calibri" w:eastAsia="Calibri" w:hAnsi="Calibri"/>
            <w:color w:val="315B75"/>
            <w:sz w:val="17"/>
            <w:szCs w:val="17"/>
            <w:u w:val="single"/>
          </w:rPr>
          <w:t xml:space="preserve">https://lawphil.net/statutes/repacts/ra2025/ra_12209_2025.html</w:t>
        </w:r>
      </w:hyperlink>
    </w:p>
    <w:p>
      <w:pPr>
        <w:keepNext/>
        <w:spacing w:after="60" w:before="100"/>
      </w:pPr>
      <w:r>
        <w:rPr>
          <w:rFonts w:ascii="Calibri" w:cs="Calibri" w:eastAsia="Calibri" w:hAnsi="Calibri"/>
          <w:b/>
          <w:bCs/>
          <w:sz w:val="18"/>
          <w:szCs w:val="18"/>
        </w:rPr>
        <w:t xml:space="preserve">LTO Citizen's Charter 2024 (Internet Archive copy of LTO's file) - §4.1 Transfer-of-ownership documentary and processing requirements (checked 2026-10-01)</w:t>
      </w:r>
    </w:p>
    <w:p>
      <w:pPr>
        <w:spacing w:after="120"/>
      </w:pPr>
      <w:hyperlink w:history="1" r:id="rIdaypmm0fq8ttrxgmzixf1q">
        <w:r>
          <w:rPr>
            <w:rFonts w:ascii="Calibri" w:cs="Calibri" w:eastAsia="Calibri" w:hAnsi="Calibri"/>
            <w:color w:val="315B75"/>
            <w:sz w:val="17"/>
            <w:szCs w:val="17"/>
            <w:u w:val="single"/>
          </w:rPr>
          <w:t xml:space="preserve">https://web.archive.org/web/20241211043853/https://lto.gov.ph/wp-content/uploads/2024/05/LTO_CC_05-30-2024.pdf</w:t>
        </w:r>
      </w:hyperlink>
    </w:p>
    <w:p>
      <w:pPr>
        <w:keepNext/>
        <w:spacing w:after="60" w:before="100"/>
      </w:pPr>
      <w:r>
        <w:rPr>
          <w:rFonts w:ascii="Calibri" w:cs="Calibri" w:eastAsia="Calibri" w:hAnsi="Calibri"/>
          <w:b/>
          <w:bCs/>
          <w:sz w:val="18"/>
          <w:szCs w:val="18"/>
        </w:rPr>
        <w:t xml:space="preserve">Executive Order No. 209 — Family Code - Arts. 91–93, 96, 116, and 124: property acquired during the marriage is presumed community or conjugal; a disposition or encumbrance without the other spouse's written consent is void (checked 2026-10-01)</w:t>
      </w:r>
    </w:p>
    <w:p>
      <w:pPr>
        <w:spacing w:after="120"/>
      </w:pPr>
      <w:hyperlink w:history="1" r:id="rIduixlm8ckrmf6i7so5xhmr">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PCI Leasing and Finance, Inc. v. UCPB General Insurance Co., G.R. No. 162267 - Registered-owner responsibility to the public despite an unregistered private transaction (checked 2026-08-31)</w:t>
      </w:r>
    </w:p>
    <w:p>
      <w:pPr>
        <w:spacing w:after="120"/>
      </w:pPr>
      <w:hyperlink w:history="1" r:id="rIdbzwdzoz8uggc9q8q5zs-p">
        <w:r>
          <w:rPr>
            <w:rFonts w:ascii="Calibri" w:cs="Calibri" w:eastAsia="Calibri" w:hAnsi="Calibri"/>
            <w:color w:val="315B75"/>
            <w:sz w:val="17"/>
            <w:szCs w:val="17"/>
            <w:u w:val="single"/>
          </w:rPr>
          <w:t xml:space="preserve">https://lawphil.net/judjuris/juri2008/jul2008/gr_162267_2008.html</w:t>
        </w:r>
      </w:hyperlink>
    </w:p>
    <w:p>
      <w:pPr>
        <w:keepNext/>
        <w:spacing w:after="60" w:before="100"/>
      </w:pPr>
      <w:r>
        <w:rPr>
          <w:rFonts w:ascii="Calibri" w:cs="Calibri" w:eastAsia="Calibri" w:hAnsi="Calibri"/>
          <w:b/>
          <w:bCs/>
          <w:sz w:val="18"/>
          <w:szCs w:val="18"/>
        </w:rPr>
        <w:t xml:space="preserve">2004 Rules on Notarial Practice (A.M. No. 02-8-13-SC), as amended March 4, 2025 - Acknowledgment, personal appearance, identity, a representative's authority to sign in that capacity, venue, and certificate requirements (Rule VIII Sec. 2: place and expiry of the commission). Amendments: https://sc.judiciary.gov.ph/wp-content/uploads/2025/06/Amended-2004-Notarial-Rules.pdf (checked 2026-10-01)</w:t>
      </w:r>
    </w:p>
    <w:p>
      <w:pPr>
        <w:spacing w:after="120"/>
      </w:pPr>
      <w:hyperlink w:history="1" r:id="rIdxpwpw7j-zrjw1qbbs8agw">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 Electronic acknowledgment through a commissioned ENP and accredited ENF (checked 2026-08-31)</w:t>
      </w:r>
    </w:p>
    <w:p>
      <w:pPr>
        <w:spacing w:after="120"/>
      </w:pPr>
      <w:hyperlink w:history="1" r:id="rIdi9q8fqeowize8pwodtuvt">
        <w:r>
          <w:rPr>
            <w:rFonts w:ascii="Calibri" w:cs="Calibri" w:eastAsia="Calibri" w:hAnsi="Calibri"/>
            <w:color w:val="315B75"/>
            <w:sz w:val="17"/>
            <w:szCs w:val="17"/>
            <w:u w:val="single"/>
          </w:rPr>
          <w:t xml:space="preserve">https://sc.judiciary.gov.ph/24-10-14-sc-rules-on-electronic-notarization/</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tzd3gvpser5jjhyfd9e" Type="http://schemas.openxmlformats.org/officeDocument/2006/relationships/hyperlink" Target="https://lawphil.net/statutes/repacts/ra1949/ra_386_1949.html" TargetMode="External"/><Relationship Id="rIdakijxrbvzasd7uiqp_k9-" Type="http://schemas.openxmlformats.org/officeDocument/2006/relationships/hyperlink" Target="https://lawphil.net/judjuris/juri1968/may1968/gr_l-24772_1968.html" TargetMode="External"/><Relationship Id="rId1hwjfjghfoq1losobmjmc" Type="http://schemas.openxmlformats.org/officeDocument/2006/relationships/hyperlink" Target="https://lawphil.net/statutes/repacts/ra2018/ra_11057_2018.html" TargetMode="External"/><Relationship Id="rIddwyxqnyyokdatdvqrbwhw" Type="http://schemas.openxmlformats.org/officeDocument/2006/relationships/hyperlink" Target="https://lawphil.net/statutes/repacts/ra1963/ra_3765_1963.html" TargetMode="External"/><Relationship Id="rIdw3nswhqb7otpfr8mhjilh" Type="http://schemas.openxmlformats.org/officeDocument/2006/relationships/hyperlink" Target="https://lawphil.net/statutes/repacts/ra1992/ra_7394_1992.html" TargetMode="External"/><Relationship Id="rIdau7dp_5szwl54kwi8cmtp" Type="http://schemas.openxmlformats.org/officeDocument/2006/relationships/hyperlink" Target="https://lawphil.net/statutes/repacts/ra1964/ra_4136_1964.html" TargetMode="External"/><Relationship Id="rIdveil0twxcuu_j0tbfhsbx" Type="http://schemas.openxmlformats.org/officeDocument/2006/relationships/hyperlink" Target="https://elibrary.judiciary.gov.ph/thebookshelf/showdocs/2/70217" TargetMode="External"/><Relationship Id="rIdnh3ctpxeht1zw74senmq3" Type="http://schemas.openxmlformats.org/officeDocument/2006/relationships/hyperlink" Target="https://lawphil.net/statutes/repacts/ra2025/ra_12209_2025.html" TargetMode="External"/><Relationship Id="rIdaypmm0fq8ttrxgmzixf1q" Type="http://schemas.openxmlformats.org/officeDocument/2006/relationships/hyperlink" Target="https://web.archive.org/web/20241211043853/https://lto.gov.ph/wp-content/uploads/2024/05/LTO_CC_05-30-2024.pdf" TargetMode="External"/><Relationship Id="rIduixlm8ckrmf6i7so5xhmr" Type="http://schemas.openxmlformats.org/officeDocument/2006/relationships/hyperlink" Target="https://lawphil.net/executive/execord/eo1987/eo_209_1987.html" TargetMode="External"/><Relationship Id="rIdbzwdzoz8uggc9q8q5zs-p" Type="http://schemas.openxmlformats.org/officeDocument/2006/relationships/hyperlink" Target="https://lawphil.net/judjuris/juri2008/jul2008/gr_162267_2008.html" TargetMode="External"/><Relationship Id="rIdxpwpw7j-zrjw1qbbs8agw" Type="http://schemas.openxmlformats.org/officeDocument/2006/relationships/hyperlink" Target="https://sc.judiciary.gov.ph/wp-content/uploads/2022/08/02-08-13-SC-1.pdf" TargetMode="External"/><Relationship Id="rIdi9q8fqeowize8pwodtuvt" Type="http://schemas.openxmlformats.org/officeDocument/2006/relationships/hyperlink" Target="https://sc.judiciary.gov.ph/24-10-14-sc-rules-on-electronic-notarization/"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INSTALLMENT VEHICLE SALE AGREEMENT AND PAYMENT ACKNOWLEDGMENT</dc:title>
  <dc:creator>LAW.PH</dc:creator>
  <dc:description>Free sample of the Installment Vehicle Sale Agreement and Payment Acknowledgment from LAW.PH, with fictional details</dc:description>
  <cp:lastModifiedBy>Un-named</cp:lastModifiedBy>
  <cp:revision>1</cp:revision>
  <dcterms:created xsi:type="dcterms:W3CDTF">2026-10-02T05:29:57.790Z</dcterms:created>
  <dcterms:modified xsi:type="dcterms:W3CDTF">2026-10-02T05:29:57.790Z</dcterms:modified>
</cp:coreProperties>
</file>

<file path=docProps/custom.xml><?xml version="1.0" encoding="utf-8"?>
<Properties xmlns="http://schemas.openxmlformats.org/officeDocument/2006/custom-properties" xmlns:vt="http://schemas.openxmlformats.org/officeDocument/2006/docPropsVTypes"/>
</file>