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INTELLECTUAL PROPERTY ASSIGNMENT AGREEMENT</w:t>
      </w:r>
    </w:p>
    <w:p>
      <w:pPr>
        <w:spacing w:after="160"/>
        <w:jc w:val="center"/>
      </w:pPr>
      <w:r>
        <w:rPr>
          <w:rFonts w:ascii="Calibri" w:cs="Calibri" w:eastAsia="Calibri" w:hAnsi="Calibri"/>
          <w:color w:val="566674"/>
          <w:sz w:val="18"/>
          <w:szCs w:val="18"/>
        </w:rPr>
        <w:t xml:space="preserve">Republic of the Philippines — Outright transfer of intellectual property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intellectual-property lawyer review pending</w:t>
      </w:r>
    </w:p>
    <w:p>
      <w:pPr>
        <w:keepLines/>
        <w:spacing w:after="120" w:line="264"/>
        <w:jc w:val="both"/>
      </w:pPr>
      <w:r>
        <w:rPr>
          <w:rFonts w:ascii="Calibri" w:cs="Calibri" w:eastAsia="Calibri" w:hAnsi="Calibri"/>
          <w:sz w:val="22"/>
          <w:szCs w:val="22"/>
        </w:rPr>
        <w:t xml:space="preserve">This Intellectual Property Assignment Agreement (the "Agreement") is made on September 30, 2026 at Cebu City, Philippines, between Kalikasan Creative Studio, Inc., with address at 9/F Cebu IT Park, Lahug, Cebu City 6000 (the "Assignor"), and Sampaguita Trading Corporation, with principal office at 22 Bonifacio Street, Cebu City 6000 (the "Assignee").</w:t>
      </w:r>
    </w:p>
    <w:p>
      <w:pPr>
        <w:pStyle w:val="Heading2"/>
        <w:keepNext/>
        <w:spacing w:after="120" w:before="240"/>
      </w:pPr>
      <w:r>
        <w:rPr>
          <w:rFonts w:ascii="Calibri" w:cs="Calibri" w:eastAsia="Calibri" w:hAnsi="Calibri"/>
          <w:b/>
          <w:bCs/>
          <w:color w:val="102B3F"/>
          <w:sz w:val="26"/>
          <w:szCs w:val="26"/>
        </w:rPr>
        <w:t xml:space="preserve">1. Assignment</w:t>
      </w:r>
    </w:p>
    <w:p>
      <w:pPr>
        <w:keepLines/>
        <w:spacing w:after="120" w:line="264"/>
        <w:jc w:val="both"/>
      </w:pPr>
      <w:r>
        <w:rPr>
          <w:rFonts w:ascii="Calibri" w:cs="Calibri" w:eastAsia="Calibri" w:hAnsi="Calibri"/>
          <w:sz w:val="22"/>
          <w:szCs w:val="22"/>
        </w:rPr>
        <w:t xml:space="preserve">On the Assignee's full payment of the price under the section on price, the Assignor assigns, transfers, and conveys to the Assignee, throughout the world, all of the Assignor's rights, title, and interest in the following (the "Assigned Rights"), including the right to sue for past infringement:</w:t>
      </w:r>
    </w:p>
    <w:p>
      <w:pPr>
        <w:keepLines/>
        <w:spacing w:after="120" w:line="264"/>
        <w:jc w:val="both"/>
      </w:pPr>
      <w:r>
        <w:rPr>
          <w:rFonts w:ascii="Calibri" w:cs="Calibri" w:eastAsia="Calibri" w:hAnsi="Calibri"/>
          <w:sz w:val="22"/>
          <w:szCs w:val="22"/>
        </w:rPr>
        <w:t xml:space="preserve">Copyright: The mobile game 'Sampaguita Quest', including its source code, artwork, characters, music, and game text, first created in 2024, together with all versions and documentation.</w:t>
      </w:r>
    </w:p>
    <w:p>
      <w:pPr>
        <w:keepLines/>
        <w:spacing w:after="120" w:line="264"/>
        <w:jc w:val="both"/>
      </w:pPr>
      <w:r>
        <w:rPr>
          <w:rFonts w:ascii="Calibri" w:cs="Calibri" w:eastAsia="Calibri" w:hAnsi="Calibri"/>
          <w:sz w:val="22"/>
          <w:szCs w:val="22"/>
        </w:rPr>
        <w:t xml:space="preserve">Trademarks: The mark SAMPAGUITA QUEST, IPOPHL Trademark Registration No. 4-2024-012345, in Classes 9 and 41. The marks are assigned together with the business and the goodwill they identify.</w:t>
      </w:r>
    </w:p>
    <w:p>
      <w:pPr>
        <w:keepLines/>
        <w:spacing w:after="120" w:line="264"/>
        <w:jc w:val="both"/>
      </w:pPr>
      <w:r>
        <w:rPr>
          <w:rFonts w:ascii="Calibri" w:cs="Calibri" w:eastAsia="Calibri" w:hAnsi="Calibri"/>
          <w:sz w:val="22"/>
          <w:szCs w:val="22"/>
        </w:rPr>
        <w:t xml:space="preserve">Domain names: sampaguitaquest.example and sampaguitaquest.ph.</w:t>
      </w:r>
    </w:p>
    <w:p>
      <w:pPr>
        <w:keepLines/>
        <w:spacing w:after="120" w:line="264"/>
        <w:jc w:val="both"/>
      </w:pPr>
      <w:r>
        <w:rPr>
          <w:rFonts w:ascii="Calibri" w:cs="Calibri" w:eastAsia="Calibri" w:hAnsi="Calibri"/>
          <w:sz w:val="22"/>
          <w:szCs w:val="22"/>
        </w:rPr>
        <w:t xml:space="preserve">Until full payment, the Assignor keeps the Assigned Rights and shall not transfer or encumber them.</w:t>
      </w:r>
    </w:p>
    <w:p>
      <w:pPr>
        <w:pStyle w:val="Heading2"/>
        <w:keepNext/>
        <w:spacing w:after="120" w:before="240"/>
      </w:pPr>
      <w:r>
        <w:rPr>
          <w:rFonts w:ascii="Calibri" w:cs="Calibri" w:eastAsia="Calibri" w:hAnsi="Calibri"/>
          <w:b/>
          <w:bCs/>
          <w:color w:val="102B3F"/>
          <w:sz w:val="26"/>
          <w:szCs w:val="26"/>
        </w:rPr>
        <w:t xml:space="preserve">2. Chain of title and warranties</w:t>
      </w:r>
    </w:p>
    <w:p>
      <w:pPr>
        <w:keepLines/>
        <w:spacing w:after="120" w:line="264"/>
        <w:jc w:val="both"/>
      </w:pPr>
      <w:r>
        <w:rPr>
          <w:rFonts w:ascii="Calibri" w:cs="Calibri" w:eastAsia="Calibri" w:hAnsi="Calibri"/>
          <w:sz w:val="22"/>
          <w:szCs w:val="22"/>
        </w:rPr>
        <w:t xml:space="preserve">The Assignor states that the Assignor's employees created the rights and the rights belong to the Assignor. The game was created by the Assignor's employees and contractors in the course of their work. Each has signed a written assignment of rights to the Assignor, copies of which are kept in the Assignor's records.</w:t>
      </w:r>
    </w:p>
    <w:p>
      <w:pPr>
        <w:keepLines/>
        <w:spacing w:after="120" w:line="264"/>
        <w:jc w:val="both"/>
      </w:pPr>
      <w:r>
        <w:rPr>
          <w:rFonts w:ascii="Calibri" w:cs="Calibri" w:eastAsia="Calibri" w:hAnsi="Calibri"/>
          <w:sz w:val="22"/>
          <w:szCs w:val="22"/>
        </w:rPr>
        <w:t xml:space="preserve">The Assignor states that it is the sole owner of the Assigned Rights; that every creator, employee, and contractor involved has assigned their rights to it in writing; that it has not assigned, licensed, or encumbered the Assigned Rights to anyone else, except as disclosed below; and that it knows of no claim that they are invalid or infringe another's rights.</w:t>
      </w:r>
    </w:p>
    <w:p>
      <w:pPr>
        <w:keepLines/>
        <w:spacing w:after="120" w:line="264"/>
        <w:jc w:val="both"/>
      </w:pPr>
      <w:r>
        <w:rPr>
          <w:rFonts w:ascii="Calibri" w:cs="Calibri" w:eastAsia="Calibri" w:hAnsi="Calibri"/>
          <w:sz w:val="22"/>
          <w:szCs w:val="22"/>
        </w:rPr>
        <w:t xml:space="preserve">There are no existing licenses over the Assigned Rights.</w:t>
      </w:r>
    </w:p>
    <w:p>
      <w:pPr>
        <w:keepLines/>
        <w:spacing w:after="120" w:line="264"/>
        <w:jc w:val="both"/>
      </w:pPr>
      <w:r>
        <w:rPr>
          <w:rFonts w:ascii="Calibri" w:cs="Calibri" w:eastAsia="Calibri" w:hAnsi="Calibri"/>
          <w:sz w:val="22"/>
          <w:szCs w:val="22"/>
        </w:rPr>
        <w:t xml:space="preserve">The Assignor discloses no lien, security interest, or claim over the Assigned Rights.</w:t>
      </w:r>
    </w:p>
    <w:p>
      <w:pPr>
        <w:pStyle w:val="Heading2"/>
        <w:keepNext/>
        <w:spacing w:after="120" w:before="240"/>
      </w:pPr>
      <w:r>
        <w:rPr>
          <w:rFonts w:ascii="Calibri" w:cs="Calibri" w:eastAsia="Calibri" w:hAnsi="Calibri"/>
          <w:b/>
          <w:bCs/>
          <w:color w:val="102B3F"/>
          <w:sz w:val="26"/>
          <w:szCs w:val="26"/>
        </w:rPr>
        <w:t xml:space="preserve">3. Price</w:t>
      </w:r>
    </w:p>
    <w:p>
      <w:pPr>
        <w:keepLines/>
        <w:spacing w:after="120" w:line="264"/>
        <w:jc w:val="both"/>
      </w:pPr>
      <w:r>
        <w:rPr>
          <w:rFonts w:ascii="Calibri" w:cs="Calibri" w:eastAsia="Calibri" w:hAnsi="Calibri"/>
          <w:sz w:val="22"/>
          <w:szCs w:val="22"/>
        </w:rPr>
        <w:t xml:space="preserve">The Assignee shall pay the Assignor One Million Five Hundred Thousand Pesos (PHP 1,500,000.00) for the Assigned Rights. Payment is made at the signing of this Agreement.</w:t>
      </w:r>
    </w:p>
    <w:p>
      <w:pPr>
        <w:pStyle w:val="Heading2"/>
        <w:keepNext/>
        <w:spacing w:after="120" w:before="240"/>
      </w:pPr>
      <w:r>
        <w:rPr>
          <w:rFonts w:ascii="Calibri" w:cs="Calibri" w:eastAsia="Calibri" w:hAnsi="Calibri"/>
          <w:b/>
          <w:bCs/>
          <w:color w:val="102B3F"/>
          <w:sz w:val="26"/>
          <w:szCs w:val="26"/>
        </w:rPr>
        <w:t xml:space="preserve">4. Moral rights and creators</w:t>
      </w:r>
    </w:p>
    <w:p>
      <w:pPr>
        <w:keepLines/>
        <w:spacing w:after="120" w:line="264"/>
        <w:jc w:val="both"/>
      </w:pPr>
      <w:r>
        <w:rPr>
          <w:rFonts w:ascii="Calibri" w:cs="Calibri" w:eastAsia="Calibri" w:hAnsi="Calibri"/>
          <w:sz w:val="22"/>
          <w:szCs w:val="22"/>
        </w:rPr>
        <w:t xml:space="preserve">Moral rights, such as the right to be named as author and to object to distortion of a work, stay with the creators as the law provides and cannot be assigned. The Assignor shall deliver to the Assignee, for each author, a written waiver under Section 195 of the Intellectual Property Code covering the modification of the works and their use without attribution, subject to the limits in Sections 195.1 and 195.2, which do not allow a waiver to permit use of an author's name on a work the author did not create or on an alteration that would injure another author's reputation.</w:t>
      </w:r>
    </w:p>
    <w:p>
      <w:pPr>
        <w:pStyle w:val="Heading2"/>
        <w:keepNext/>
        <w:spacing w:after="120" w:before="240"/>
      </w:pPr>
      <w:r>
        <w:rPr>
          <w:rFonts w:ascii="Calibri" w:cs="Calibri" w:eastAsia="Calibri" w:hAnsi="Calibri"/>
          <w:b/>
          <w:bCs/>
          <w:color w:val="102B3F"/>
          <w:sz w:val="26"/>
          <w:szCs w:val="26"/>
        </w:rPr>
        <w:t xml:space="preserve">5. Recording and further assurances</w:t>
      </w:r>
    </w:p>
    <w:p>
      <w:pPr>
        <w:keepLines/>
        <w:spacing w:after="120" w:line="264"/>
        <w:jc w:val="both"/>
      </w:pPr>
      <w:r>
        <w:rPr>
          <w:rFonts w:ascii="Calibri" w:cs="Calibri" w:eastAsia="Calibri" w:hAnsi="Calibri"/>
          <w:sz w:val="22"/>
          <w:szCs w:val="22"/>
        </w:rPr>
        <w:t xml:space="preserve">The Assignee shall record this assignment, where recording is available, with the Intellectual Property Office of the Philippines or the other office that keeps the register for the right, and the Assignor shall sign every document and give every assistance needed for that. An assignment of a mark has no effect against third persons until it is recorded (Section 149), and an assignment of a patent that is not recorded within three months of its date, or before a later purchase or mortgage, is void against a later purchaser or mortgagee for value without notice (Section 106).</w:t>
      </w:r>
    </w:p>
    <w:p>
      <w:pPr>
        <w:keepLines/>
        <w:spacing w:after="120" w:line="264"/>
        <w:jc w:val="both"/>
      </w:pPr>
      <w:r>
        <w:rPr>
          <w:rFonts w:ascii="Calibri" w:cs="Calibri" w:eastAsia="Calibri" w:hAnsi="Calibri"/>
          <w:sz w:val="22"/>
          <w:szCs w:val="22"/>
        </w:rPr>
        <w:t xml:space="preserve">The Assignor shall transfer control of the domain names to the Assignee through the registrar within a reasonable time after ownership passes.</w:t>
      </w:r>
    </w:p>
    <w:p>
      <w:pPr>
        <w:pStyle w:val="Heading2"/>
        <w:keepNext/>
        <w:spacing w:after="120" w:before="240"/>
      </w:pPr>
      <w:r>
        <w:rPr>
          <w:rFonts w:ascii="Calibri" w:cs="Calibri" w:eastAsia="Calibri" w:hAnsi="Calibri"/>
          <w:b/>
          <w:bCs/>
          <w:color w:val="102B3F"/>
          <w:sz w:val="26"/>
          <w:szCs w:val="26"/>
        </w:rPr>
        <w:t xml:space="preserve">6. Technology transfer terms</w:t>
      </w:r>
    </w:p>
    <w:p>
      <w:pPr>
        <w:keepLines/>
        <w:spacing w:after="120" w:line="264"/>
        <w:jc w:val="both"/>
      </w:pPr>
      <w:r>
        <w:rPr>
          <w:rFonts w:ascii="Calibri" w:cs="Calibri" w:eastAsia="Calibri" w:hAnsi="Calibri"/>
          <w:sz w:val="22"/>
          <w:szCs w:val="22"/>
        </w:rPr>
        <w:t xml:space="preserve">This assignment transfers source code, technical documentation, and other technical knowledge, so it is a technology transfer arrangement under Sections 4.2 and 85 of the Intellectual Property Code. The parties include the terms that Section 88 of the Code requires, and this Agreement contains no clause that Section 87 prohibits.</w:t>
      </w:r>
    </w:p>
    <w:p>
      <w:pPr>
        <w:keepLines/>
        <w:spacing w:after="120" w:line="264"/>
        <w:jc w:val="both"/>
      </w:pPr>
      <w:r>
        <w:rPr>
          <w:rFonts w:ascii="Calibri" w:cs="Calibri" w:eastAsia="Calibri" w:hAnsi="Calibri"/>
          <w:sz w:val="22"/>
          <w:szCs w:val="22"/>
        </w:rPr>
        <w:t xml:space="preserve">For 6 months after ownership passes, the Assignor shall give the Assignee continued access to the improvements in the techniques and processes related to the transferred technology that the Assignor makes or acquires, and shall answer the Assignee's reasonable questions about it.</w:t>
      </w:r>
    </w:p>
    <w:p>
      <w:pPr>
        <w:keepLines/>
        <w:spacing w:after="120" w:line="264"/>
        <w:jc w:val="both"/>
      </w:pPr>
      <w:r>
        <w:rPr>
          <w:rFonts w:ascii="Calibri" w:cs="Calibri" w:eastAsia="Calibri" w:hAnsi="Calibri"/>
          <w:sz w:val="22"/>
          <w:szCs w:val="22"/>
        </w:rPr>
        <w:t xml:space="preserve">The Philippine taxes on all payments relating to this Agreement are borne by the Assignor. The Assignee may withhold and remit tax as the law requires and shall give the Assignor the withholding certificate.</w:t>
      </w:r>
    </w:p>
    <w:p>
      <w:pPr>
        <w:keepLines/>
        <w:spacing w:after="120" w:line="264"/>
        <w:jc w:val="both"/>
      </w:pPr>
      <w:r>
        <w:rPr>
          <w:rFonts w:ascii="Calibri" w:cs="Calibri" w:eastAsia="Calibri" w:hAnsi="Calibri"/>
          <w:sz w:val="22"/>
          <w:szCs w:val="22"/>
        </w:rPr>
        <w:t xml:space="preserve">Nothing in this Agreement exempts the Assignor from liability for failing to meet its own responsibilities under it, or from liability arising from third-party suits brought about by the use of the transferred technology. The limit on the Assignor's indemnity in this Agreement does not apply to those third-party claims.</w:t>
      </w:r>
    </w:p>
    <w:p>
      <w:pPr>
        <w:pStyle w:val="Heading2"/>
        <w:keepNext/>
        <w:spacing w:after="120" w:before="240"/>
      </w:pPr>
      <w:r>
        <w:rPr>
          <w:rFonts w:ascii="Calibri" w:cs="Calibri" w:eastAsia="Calibri" w:hAnsi="Calibri"/>
          <w:b/>
          <w:bCs/>
          <w:color w:val="102B3F"/>
          <w:sz w:val="26"/>
          <w:szCs w:val="26"/>
        </w:rPr>
        <w:t xml:space="preserve">7. Indemnity</w:t>
      </w:r>
    </w:p>
    <w:p>
      <w:pPr>
        <w:keepLines/>
        <w:spacing w:after="120" w:line="264"/>
        <w:jc w:val="both"/>
      </w:pPr>
      <w:r>
        <w:rPr>
          <w:rFonts w:ascii="Calibri" w:cs="Calibri" w:eastAsia="Calibri" w:hAnsi="Calibri"/>
          <w:sz w:val="22"/>
          <w:szCs w:val="22"/>
        </w:rPr>
        <w:t xml:space="preserve">The Assignor shall indemnify the Assignee for loss the Assignee suffers because the Assignor's title or a statement in the section on chain of title proves to be false, up to the price paid. Nothing here limits liability for fraud or willful misconduct.</w:t>
      </w:r>
    </w:p>
    <w:p>
      <w:pPr>
        <w:pStyle w:val="Heading2"/>
        <w:keepNext/>
        <w:spacing w:after="120" w:before="240"/>
      </w:pPr>
      <w:r>
        <w:rPr>
          <w:rFonts w:ascii="Calibri" w:cs="Calibri" w:eastAsia="Calibri" w:hAnsi="Calibri"/>
          <w:b/>
          <w:bCs/>
          <w:color w:val="102B3F"/>
          <w:sz w:val="26"/>
          <w:szCs w:val="26"/>
        </w:rPr>
        <w:t xml:space="preserve">8. General terms</w:t>
      </w:r>
    </w:p>
    <w:p>
      <w:pPr>
        <w:keepLines/>
        <w:spacing w:after="120" w:line="264"/>
        <w:jc w:val="both"/>
      </w:pPr>
      <w:r>
        <w:rPr>
          <w:rFonts w:ascii="Calibri" w:cs="Calibri" w:eastAsia="Calibri" w:hAnsi="Calibri"/>
          <w:sz w:val="22"/>
          <w:szCs w:val="22"/>
        </w:rPr>
        <w:t xml:space="preserve">As Section 88 of the Intellectual Property Code requires, Philippine law governs the interpretation of this Agreement, and any litigation shall be filed exclusively in the proper court of Cebu City, the place where the Assignee has its principal office, to the exclusion of all other courts.</w:t>
      </w:r>
    </w:p>
    <w:p>
      <w:pPr>
        <w:keepLines/>
        <w:spacing w:after="120" w:line="264"/>
        <w:jc w:val="both"/>
      </w:pPr>
      <w:r>
        <w:rPr>
          <w:rFonts w:ascii="Calibri" w:cs="Calibri" w:eastAsia="Calibri" w:hAnsi="Calibri"/>
          <w:sz w:val="22"/>
          <w:szCs w:val="22"/>
        </w:rPr>
        <w:t xml:space="preserve">This Agreement is the whole agreement on the Assigned Rights and may be amended only by a written document that both parties sign. If any provision is held invalid, the rest remains in force. Apart from the Philippine taxes on payments, which the Assignor bears, the Assignee bears the costs of notarization and recording unless the parties agree otherwise.</w:t>
      </w:r>
    </w:p>
    <w:p>
      <w:pPr>
        <w:keepNext/>
        <w:spacing w:after="260" w:before="360"/>
      </w:pPr>
      <w:r>
        <w:rPr>
          <w:rFonts w:ascii="Calibri" w:cs="Calibri" w:eastAsia="Calibri" w:hAnsi="Calibri"/>
          <w:b/>
          <w:bCs/>
          <w:sz w:val="22"/>
          <w:szCs w:val="22"/>
        </w:rPr>
        <w:t xml:space="preserve">IN WITNESS WHEREOF, the parties have signed this Agreement on September 30, 2026 at Cebu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ASSIGNOR</w:t>
            </w:r>
          </w:p>
          <w:p>
            <w:pPr>
              <w:spacing w:after="120"/>
            </w:pPr>
            <w:r>
              <w:rPr>
                <w:rFonts w:ascii="Calibri" w:cs="Calibri" w:eastAsia="Calibri" w:hAnsi="Calibri"/>
                <w:sz w:val="22"/>
                <w:szCs w:val="22"/>
              </w:rPr>
              <w:t xml:space="preserve">Kalikasan Creative Studio, Inc.
By: Andrea M. Reyes, President
Signature over printed name: ______________________________</w:t>
            </w:r>
          </w:p>
          <w:p>
            <w:pPr>
              <w:spacing w:after="120"/>
            </w:pPr>
            <w:r>
              <w:rPr>
                <w:rFonts w:ascii="Calibri" w:cs="Calibri" w:eastAsia="Calibri" w:hAnsi="Calibri"/>
                <w:sz w:val="22"/>
                <w:szCs w:val="22"/>
              </w:rPr>
              <w:t xml:space="preserve">Assignor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ASSIGNEE</w:t>
            </w:r>
          </w:p>
          <w:p>
            <w:pPr>
              <w:spacing w:after="120"/>
            </w:pPr>
            <w:r>
              <w:rPr>
                <w:rFonts w:ascii="Calibri" w:cs="Calibri" w:eastAsia="Calibri" w:hAnsi="Calibri"/>
                <w:sz w:val="22"/>
                <w:szCs w:val="22"/>
              </w:rPr>
              <w:t xml:space="preserve">Sampaguita Trading Corporation
By: Ramon L. Uy, President
Signature over printed name: ______________________________</w:t>
            </w:r>
          </w:p>
          <w:p>
            <w:pPr>
              <w:spacing w:after="120"/>
            </w:pPr>
            <w:r>
              <w:rPr>
                <w:rFonts w:ascii="Calibri" w:cs="Calibri" w:eastAsia="Calibri" w:hAnsi="Calibri"/>
                <w:sz w:val="22"/>
                <w:szCs w:val="22"/>
              </w:rPr>
              <w:t xml:space="preserve">Assignee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Cebu City, Philippines, on __________________, personally appeared Andrea M. Reyes, President, for Kalikasan Creative Studio, Inc.; and Ramon L. Uy, President, for Sampaguita Trading Corporation, identified through competent evidence of identity, ID No(s). __________________ / issued at and on __________________ / valid until __________________, known to me and to me known to be the same persons who executed this Intellectual Property Assignment Agreement. Each of them represented to me that the signature on the instrument was voluntarily affixed by him or her for the purposes stated in it, and acknowledged that he or she executed it as his or her free and voluntary act and deed and as the free and voluntary act and deed of the person or entity he or she represents, and that he or she has the authority to sign in that capacity.</w:t>
      </w:r>
    </w:p>
    <w:p>
      <w:pPr>
        <w:keepLines/>
        <w:spacing w:after="120" w:line="264"/>
        <w:jc w:val="both"/>
      </w:pPr>
      <w:r>
        <w:rPr>
          <w:rFonts w:ascii="Calibri" w:cs="Calibri" w:eastAsia="Calibri" w:hAnsi="Calibri"/>
          <w:sz w:val="22"/>
          <w:szCs w:val="22"/>
        </w:rPr>
        <w:t xml:space="preserve">NOTARY PUBLIC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Identify every right precisely, with titles, registration or application numbers, classes, and dates. An assignment that is vague about what it covers invites a dispute.</w:t>
      </w:r>
    </w:p>
    <w:p>
      <w:pPr>
        <w:pStyle w:val="ListParagraph"/>
        <w:keepNext/>
        <w:numPr>
          <w:ilvl w:val="0"/>
          <w:numId w:val="1"/>
        </w:numPr>
        <w:spacing w:after="120" w:line="264"/>
      </w:pPr>
      <w:r>
        <w:rPr>
          <w:rFonts w:ascii="Calibri" w:cs="Calibri" w:eastAsia="Calibri" w:hAnsi="Calibri"/>
          <w:sz w:val="22"/>
          <w:szCs w:val="22"/>
        </w:rPr>
        <w:t xml:space="preserve">Check the chain of title. The Assignor can pass on only what it owns, and employees and freelancers who created the work must have assigned their rights in writing. Copyright in a commissioned work stays with its creator unless a written assignment says otherwise.</w:t>
      </w:r>
    </w:p>
    <w:p>
      <w:pPr>
        <w:pStyle w:val="ListParagraph"/>
        <w:keepNext/>
        <w:numPr>
          <w:ilvl w:val="0"/>
          <w:numId w:val="1"/>
        </w:numPr>
        <w:spacing w:after="120" w:line="264"/>
      </w:pPr>
      <w:r>
        <w:rPr>
          <w:rFonts w:ascii="Calibri" w:cs="Calibri" w:eastAsia="Calibri" w:hAnsi="Calibri"/>
          <w:sz w:val="22"/>
          <w:szCs w:val="22"/>
        </w:rPr>
        <w:t xml:space="preserve">A copyright assignment must be in writing (Intellectual Property Code, Section 180). An assignment of a patent, utility model, or industrial design must also be acknowledged before a notary. An assignment of a mark must be in writing and signed by both parties.</w:t>
      </w:r>
    </w:p>
    <w:p>
      <w:pPr>
        <w:pStyle w:val="ListParagraph"/>
        <w:keepNext/>
        <w:numPr>
          <w:ilvl w:val="0"/>
          <w:numId w:val="1"/>
        </w:numPr>
        <w:spacing w:after="120" w:line="264"/>
      </w:pPr>
      <w:r>
        <w:rPr>
          <w:rFonts w:ascii="Calibri" w:cs="Calibri" w:eastAsia="Calibri" w:hAnsi="Calibri"/>
          <w:sz w:val="22"/>
          <w:szCs w:val="22"/>
        </w:rPr>
        <w:t xml:space="preserve">If a company signs, the notary will ask for proof that its signatory has authority, such as a board resolution or secretary's certificate. Bring it to the signing and attach a copy to the assignment.</w:t>
      </w:r>
    </w:p>
    <w:p>
      <w:pPr>
        <w:pStyle w:val="ListParagraph"/>
        <w:keepNext/>
        <w:numPr>
          <w:ilvl w:val="0"/>
          <w:numId w:val="1"/>
        </w:numPr>
        <w:spacing w:after="120" w:line="264"/>
      </w:pPr>
      <w:r>
        <w:rPr>
          <w:rFonts w:ascii="Calibri" w:cs="Calibri" w:eastAsia="Calibri" w:hAnsi="Calibri"/>
          <w:sz w:val="22"/>
          <w:szCs w:val="22"/>
        </w:rPr>
        <w:t xml:space="preserve">Record the assignment. An assignment of a mark has no effect against third persons until it is recorded (Section 149). A patent assignment is void against a later purchaser or mortgagee for value without notice unless it is recorded within three months of its date or before that later purchase or mortgage (Section 106). File promptly, keep the receipt, and confirm the current recording office and fees for each right.</w:t>
      </w:r>
    </w:p>
    <w:p>
      <w:pPr>
        <w:pStyle w:val="ListParagraph"/>
        <w:keepNext/>
        <w:numPr>
          <w:ilvl w:val="0"/>
          <w:numId w:val="1"/>
        </w:numPr>
        <w:spacing w:after="120" w:line="264"/>
      </w:pPr>
      <w:r>
        <w:rPr>
          <w:rFonts w:ascii="Calibri" w:cs="Calibri" w:eastAsia="Calibri" w:hAnsi="Calibri"/>
          <w:sz w:val="22"/>
          <w:szCs w:val="22"/>
        </w:rPr>
        <w:t xml:space="preserve">Assigning a mark without its business or goodwill is valid only if it is not liable to mislead the public about the nature, source, or quality of the goods or services (Section 149). Consider assigning the goodwill too.</w:t>
      </w:r>
    </w:p>
    <w:p>
      <w:pPr>
        <w:pStyle w:val="ListParagraph"/>
        <w:keepNext/>
        <w:numPr>
          <w:ilvl w:val="0"/>
          <w:numId w:val="1"/>
        </w:numPr>
        <w:spacing w:after="120" w:line="264"/>
      </w:pPr>
      <w:r>
        <w:rPr>
          <w:rFonts w:ascii="Calibri" w:cs="Calibri" w:eastAsia="Calibri" w:hAnsi="Calibri"/>
          <w:sz w:val="22"/>
          <w:szCs w:val="22"/>
        </w:rPr>
        <w:t xml:space="preserve">Moral rights stay with the creators and cannot be assigned. Only each author can waive them, in a signed writing, and no waiver can allow use of the author's name on a work they did not create (Section 195). Collect a signed waiver from each author.</w:t>
      </w:r>
    </w:p>
    <w:p>
      <w:pPr>
        <w:pStyle w:val="ListParagraph"/>
        <w:keepNext/>
        <w:numPr>
          <w:ilvl w:val="0"/>
          <w:numId w:val="1"/>
        </w:numPr>
        <w:spacing w:after="120" w:line="264"/>
      </w:pPr>
      <w:r>
        <w:rPr>
          <w:rFonts w:ascii="Calibri" w:cs="Calibri" w:eastAsia="Calibri" w:hAnsi="Calibri"/>
          <w:sz w:val="22"/>
          <w:szCs w:val="22"/>
        </w:rPr>
        <w:t xml:space="preserve">An assignment of know-how or other technical knowledge is a technology transfer arrangement. It must keep the mandatory terms of Section 88 of the Intellectual Property Code and avoid the clauses Section 87 prohibits, or it becomes unenforceable unless the IPOPHL grants an exemption and registers it (Section 92). If you are unsure, the IPOPHL's Documentation, Information and Technology Transfer Bureau can review a draft before signing (Memorandum Circular No. 2020-002).</w:t>
      </w:r>
    </w:p>
    <w:p>
      <w:pPr>
        <w:pStyle w:val="ListParagraph"/>
        <w:keepNext/>
        <w:numPr>
          <w:ilvl w:val="0"/>
          <w:numId w:val="1"/>
        </w:numPr>
        <w:spacing w:after="120" w:line="264"/>
      </w:pPr>
      <w:r>
        <w:rPr>
          <w:rFonts w:ascii="Calibri" w:cs="Calibri" w:eastAsia="Calibri" w:hAnsi="Calibri"/>
          <w:sz w:val="22"/>
          <w:szCs w:val="22"/>
        </w:rPr>
        <w:t xml:space="preserve">Search the register for liens, licenses, and pending claims before you pay, and ask the Assignor to disclose any it knows of. A bank or a licensee may already hold rights in what you are buying.</w:t>
      </w:r>
    </w:p>
    <w:p>
      <w:pPr>
        <w:pStyle w:val="ListParagraph"/>
        <w:keepNext/>
        <w:numPr>
          <w:ilvl w:val="0"/>
          <w:numId w:val="1"/>
        </w:numPr>
        <w:spacing w:after="120" w:line="264"/>
      </w:pPr>
      <w:r>
        <w:rPr>
          <w:rFonts w:ascii="Calibri" w:cs="Calibri" w:eastAsia="Calibri" w:hAnsi="Calibri"/>
          <w:sz w:val="22"/>
          <w:szCs w:val="22"/>
        </w:rPr>
        <w:t xml:space="preserve">Check tax treatment with an accountant, including value-added tax, income tax, and withholding, and document the price and its basis.</w:t>
      </w:r>
    </w:p>
    <w:p>
      <w:pPr>
        <w:pStyle w:val="ListParagraph"/>
        <w:keepNext/>
        <w:numPr>
          <w:ilvl w:val="0"/>
          <w:numId w:val="1"/>
        </w:numPr>
        <w:spacing w:after="120" w:line="264"/>
      </w:pPr>
      <w:r>
        <w:rPr>
          <w:rFonts w:ascii="Calibri" w:cs="Calibri" w:eastAsia="Calibri" w:hAnsi="Calibri"/>
          <w:sz w:val="22"/>
          <w:szCs w:val="22"/>
        </w:rPr>
        <w:t xml:space="preserve">For a domain name, follow the registrar's transfer process, and for trade secrets, deliver the materials and end the Assignor's use, or the secret may be lost.</w:t>
      </w:r>
    </w:p>
    <w:p>
      <w:pPr>
        <w:pStyle w:val="ListParagraph"/>
        <w:keepNext w:val="false"/>
        <w:numPr>
          <w:ilvl w:val="0"/>
          <w:numId w:val="1"/>
        </w:numPr>
        <w:spacing w:after="120" w:line="264"/>
      </w:pPr>
      <w:r>
        <w:rPr>
          <w:rFonts w:ascii="Calibri" w:cs="Calibri" w:eastAsia="Calibri" w:hAnsi="Calibri"/>
          <w:sz w:val="22"/>
          <w:szCs w:val="22"/>
        </w:rPr>
        <w:t xml:space="preserve">Use a Philippine intellectual property lawyer for a valuable portfolio, a foreign party, a pending dispute, or an assignment as part of a business sale.</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intellectual-property lawyer review pending | Last legal check 2026-10-01 | Next review due 2026-11-01</w:t>
      </w:r>
    </w:p>
    <w:p>
      <w:pPr>
        <w:keepNext/>
        <w:spacing w:after="60" w:before="100"/>
      </w:pPr>
      <w:r>
        <w:rPr>
          <w:rFonts w:ascii="Calibri" w:cs="Calibri" w:eastAsia="Calibri" w:hAnsi="Calibri"/>
          <w:b/>
          <w:bCs/>
          <w:sz w:val="18"/>
          <w:szCs w:val="18"/>
        </w:rPr>
        <w:t xml:space="preserve">Intellectual Property Code of the Philippines (Republic Act No. 8293), as amended - Sec. 4.2 and Sec. 85 (a transfer or assignment of intellectual property rights involving technology is a technology transfer arrangement); Sec. 87 (prohibited clauses, including exemptions of the transferor's liability for third-party suits); Sec. 88 (mandatory terms: Philippine law, venue at the transferee's principal office, continued access to improvements, arbitration under the Arbitration Law of the Philippines or the UNCITRAL or ICC rules seated in the Philippines or a neutral country, and Philippine taxes borne by the transferor); Sec. 92 (non-conforming arrangements are unenforceable unless approved and registered); Sec. 178 (ownership; a commissioned work's copyright stays with its creator unless a written stipulation says otherwise) and Sec. 180 (a copyright is not deemed assigned without a written indication of that intention); Sec. 105 (an assignment of a patent must be in writing and acknowledged before a notary public), applied to utility models and industrial designs by Secs. 108 and 119; Sec. 106.2 (an unrecorded instrument is void against a later purchaser or mortgagee for value without notice unless recorded within three months of its date or before the later purchase or mortgage); Sec. 149 (assignment of marks has no effect against third persons until recorded); Secs. 193–198 (moral rights; Sec. 195 waiver only by the author in writing, within limits) (checked 2026-10-01)</w:t>
      </w:r>
    </w:p>
    <w:p>
      <w:pPr>
        <w:spacing w:after="120"/>
      </w:pPr>
      <w:hyperlink w:history="1" r:id="rId8e3bf1jgjktptmjmb9b1z">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Republic Act No. 10372 (amendments to the Intellectual Property Code) - Sec. 17 amending Sec. 198.1: the author's right of attribution lasts in perpetuity, and moral rights are not assignable or subject to license (checked 2026-10-01)</w:t>
      </w:r>
    </w:p>
    <w:p>
      <w:pPr>
        <w:spacing w:after="120"/>
      </w:pPr>
      <w:hyperlink w:history="1" r:id="rIdlptrhwxcwvar2xwmk7poz">
        <w:r>
          <w:rPr>
            <w:rFonts w:ascii="Calibri" w:cs="Calibri" w:eastAsia="Calibri" w:hAnsi="Calibri"/>
            <w:color w:val="315B75"/>
            <w:sz w:val="17"/>
            <w:szCs w:val="17"/>
            <w:u w:val="single"/>
          </w:rPr>
          <w:t xml:space="preserve">https://lawphil.net/statutes/repacts/ra2013/ra_10372_2013.html</w:t>
        </w:r>
      </w:hyperlink>
    </w:p>
    <w:p>
      <w:pPr>
        <w:keepNext/>
        <w:spacing w:after="60" w:before="100"/>
      </w:pPr>
      <w:r>
        <w:rPr>
          <w:rFonts w:ascii="Calibri" w:cs="Calibri" w:eastAsia="Calibri" w:hAnsi="Calibri"/>
          <w:b/>
          <w:bCs/>
          <w:sz w:val="18"/>
          <w:szCs w:val="18"/>
        </w:rPr>
        <w:t xml:space="preserve">IPOPHL Memorandum Circular No. 2020-002, Revised Rules and Regulations on Voluntary Licensing (copy of the signed circular) - Rule 1(n) (a transfer, assignment, or license of intellectual property is a technology transfer arrangement only if it involves the transfer of systematic knowledge); Rules 2–4 (prohibited clauses, mandatory provisions, and conformity); Rule 5 (exemptions and preliminary review of draft agreements). The IPOPHL website blocks automated access, so this record cites a law firm's copy of the signed circular (checked 2026-10-01)</w:t>
      </w:r>
    </w:p>
    <w:p>
      <w:pPr>
        <w:spacing w:after="120"/>
      </w:pPr>
      <w:hyperlink w:history="1" r:id="rIdijnqxj4ubzx0bghbbds8a">
        <w:r>
          <w:rPr>
            <w:rFonts w:ascii="Calibri" w:cs="Calibri" w:eastAsia="Calibri" w:hAnsi="Calibri"/>
            <w:color w:val="315B75"/>
            <w:sz w:val="17"/>
            <w:szCs w:val="17"/>
            <w:u w:val="single"/>
          </w:rPr>
          <w:t xml:space="preserve">https://deleoniplaw.com/wp-content/uploads/Laws/tech-transfer/Revised-Rules-Regulations-on-Voluntary-Licensing.pdf</w:t>
        </w:r>
      </w:hyperlink>
    </w:p>
    <w:p>
      <w:pPr>
        <w:keepNext/>
        <w:spacing w:after="60" w:before="100"/>
      </w:pPr>
      <w:r>
        <w:rPr>
          <w:rFonts w:ascii="Calibri" w:cs="Calibri" w:eastAsia="Calibri" w:hAnsi="Calibri"/>
          <w:b/>
          <w:bCs/>
          <w:sz w:val="18"/>
          <w:szCs w:val="18"/>
        </w:rPr>
        <w:t xml:space="preserve">Civil Code of the Philippines (Republic Act No. 386) - Arts. 1624–1635 (assignment of rights); Art. 748 (a donation of personal property worth more than PHP 5,000 and its acceptance must be in writing, or the donation is void); Art. 1306 (freedom to contract within legal limits) (checked 2026-10-01)</w:t>
      </w:r>
    </w:p>
    <w:p>
      <w:pPr>
        <w:spacing w:after="120"/>
      </w:pPr>
      <w:hyperlink w:history="1" r:id="rIdyvmt1be6whuhzy_rfwgkp">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2004 Rules on Notarial Practice - Rule II Sec. 1 (an acknowledgment includes the signer's representation, when acting in a representative capacity, that he or she has the authority to sign in that capacity); personal appearance, competent evidence of identity, and certificate requirements, which patent assignments require (checked 2026-10-01)</w:t>
      </w:r>
    </w:p>
    <w:p>
      <w:pPr>
        <w:spacing w:after="120"/>
      </w:pPr>
      <w:hyperlink w:history="1" r:id="rIdxgzw_t_exjvuogjssgdy9">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route, accredited electronic notary and facility requirements; available only once the Supreme Court's electronic notarization launches (announced for 19 October 2026) (checked 2026-10-01)</w:t>
      </w:r>
    </w:p>
    <w:p>
      <w:pPr>
        <w:spacing w:after="120"/>
      </w:pPr>
      <w:hyperlink w:history="1" r:id="rIdbnfjjnbhuvykk3otdrmjr">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DFA Apostille guidance - Apostille routing for an assignment signed and notarized abroad (checked 2026-09-21)</w:t>
      </w:r>
    </w:p>
    <w:p>
      <w:pPr>
        <w:spacing w:after="120"/>
      </w:pPr>
      <w:hyperlink w:history="1" r:id="rIds9xkfe5p7fe_qq7io8e0m">
        <w:r>
          <w:rPr>
            <w:rFonts w:ascii="Calibri" w:cs="Calibri" w:eastAsia="Calibri" w:hAnsi="Calibri"/>
            <w:color w:val="315B75"/>
            <w:sz w:val="17"/>
            <w:szCs w:val="17"/>
            <w:u w:val="single"/>
          </w:rPr>
          <w:t xml:space="preserve">https://dfa.gov.ph/dfa-news/dfa-releasesupdate/22280-questions-et-r%C3%83%C6%92%C3%82%C2%A9ponses-et-infographies-sur-l%27authentification-par-apostille</w:t>
        </w:r>
      </w:hyperlink>
    </w:p>
    <w:p>
      <w:pPr>
        <w:keepNext/>
        <w:spacing w:after="60" w:before="100"/>
      </w:pPr>
      <w:r>
        <w:rPr>
          <w:rFonts w:ascii="Calibri" w:cs="Calibri" w:eastAsia="Calibri" w:hAnsi="Calibri"/>
          <w:b/>
          <w:bCs/>
          <w:sz w:val="18"/>
          <w:szCs w:val="18"/>
        </w:rPr>
        <w:t xml:space="preserve">Convention Abolishing the Requirement of Legalisation for Foreign Public Documents (Apostille Convention) - Art. 1: the Convention does not apply to documents executed by diplomatic or consular agents, so an assignment acknowledged before a Philippine consul needs no apostille (checked 2026-10-01)</w:t>
      </w:r>
    </w:p>
    <w:p>
      <w:pPr>
        <w:spacing w:after="120"/>
      </w:pPr>
      <w:hyperlink w:history="1" r:id="rId-sobxiti0aghyvsmr8u7t">
        <w:r>
          <w:rPr>
            <w:rFonts w:ascii="Calibri" w:cs="Calibri" w:eastAsia="Calibri" w:hAnsi="Calibri"/>
            <w:color w:val="315B75"/>
            <w:sz w:val="17"/>
            <w:szCs w:val="17"/>
            <w:u w:val="single"/>
          </w:rPr>
          <w:t xml:space="preserve">https://www.hcch.net/en/instruments/conventions/full-text/?cid=41</w:t>
        </w:r>
      </w:hyperlink>
    </w:p>
    <w:p>
      <w:pPr>
        <w:keepNext/>
        <w:spacing w:after="60" w:before="100"/>
      </w:pPr>
      <w:r>
        <w:rPr>
          <w:rFonts w:ascii="Calibri" w:cs="Calibri" w:eastAsia="Calibri" w:hAnsi="Calibri"/>
          <w:b/>
          <w:bCs/>
          <w:sz w:val="18"/>
          <w:szCs w:val="18"/>
        </w:rPr>
        <w:t xml:space="preserve">National Internal Revenue Code of 1997 (Republic Act No. 8424), as amended - Tax treatment of the transfer of intellectual property, including value-added tax, income tax, and withholding (checked 2026-10-01)</w:t>
      </w:r>
    </w:p>
    <w:p>
      <w:pPr>
        <w:spacing w:after="120"/>
      </w:pPr>
      <w:hyperlink w:history="1" r:id="rIdhpqt-_6c_paap4a4uevkr">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Tax Reform for Acceleration and Inclusion (TRAIN) Law (Republic Act No. 10963) - Secs. 28–29 amending NIRC Secs. 99–100: donor's tax of 6% on total gifts above PHP 250,000 in a calendar year, and a transfer for less than adequate and full consideration is a gift for the shortfall unless made in the ordinary course of business (checked 2026-10-01)</w:t>
      </w:r>
    </w:p>
    <w:p>
      <w:pPr>
        <w:spacing w:after="120"/>
      </w:pPr>
      <w:hyperlink w:history="1" r:id="rIdhhs-vgsljhr1aydnao6dz">
        <w:r>
          <w:rPr>
            <w:rFonts w:ascii="Calibri" w:cs="Calibri" w:eastAsia="Calibri" w:hAnsi="Calibri"/>
            <w:color w:val="315B75"/>
            <w:sz w:val="17"/>
            <w:szCs w:val="17"/>
            <w:u w:val="single"/>
          </w:rPr>
          <w:t xml:space="preserve">https://lawphil.net/statutes/repacts/ra2017/ra_10963_2017.html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3bf1jgjktptmjmb9b1z" Type="http://schemas.openxmlformats.org/officeDocument/2006/relationships/hyperlink" Target="https://lawphil.net/statutes/repacts/ra1997/ra_8293_1997.html" TargetMode="External"/><Relationship Id="rIdlptrhwxcwvar2xwmk7poz" Type="http://schemas.openxmlformats.org/officeDocument/2006/relationships/hyperlink" Target="https://lawphil.net/statutes/repacts/ra2013/ra_10372_2013.html" TargetMode="External"/><Relationship Id="rIdijnqxj4ubzx0bghbbds8a" Type="http://schemas.openxmlformats.org/officeDocument/2006/relationships/hyperlink" Target="https://deleoniplaw.com/wp-content/uploads/Laws/tech-transfer/Revised-Rules-Regulations-on-Voluntary-Licensing.pdf" TargetMode="External"/><Relationship Id="rIdyvmt1be6whuhzy_rfwgkp" Type="http://schemas.openxmlformats.org/officeDocument/2006/relationships/hyperlink" Target="https://lawphil.net/statutes/repacts/ra1949/ra_386_1949.html" TargetMode="External"/><Relationship Id="rIdxgzw_t_exjvuogjssgdy9" Type="http://schemas.openxmlformats.org/officeDocument/2006/relationships/hyperlink" Target="https://sc.judiciary.gov.ph/wp-content/uploads/2022/08/02-08-13-SC-1.pdf" TargetMode="External"/><Relationship Id="rIdbnfjjnbhuvykk3otdrmjr" Type="http://schemas.openxmlformats.org/officeDocument/2006/relationships/hyperlink" Target="https://sc.judiciary.gov.ph/24-10-14-sc-rules-on-electronic-notarization/" TargetMode="External"/><Relationship Id="rIds9xkfe5p7fe_qq7io8e0m" Type="http://schemas.openxmlformats.org/officeDocument/2006/relationships/hyperlink" Target="https://dfa.gov.ph/dfa-news/dfa-releasesupdate/22280-questions-et-r%C3%83%C6%92%C3%82%C2%A9ponses-et-infographies-sur-l%27authentification-par-apostille" TargetMode="External"/><Relationship Id="rId-sobxiti0aghyvsmr8u7t" Type="http://schemas.openxmlformats.org/officeDocument/2006/relationships/hyperlink" Target="https://www.hcch.net/en/instruments/conventions/full-text/?cid=41" TargetMode="External"/><Relationship Id="rIdhpqt-_6c_paap4a4uevkr" Type="http://schemas.openxmlformats.org/officeDocument/2006/relationships/hyperlink" Target="https://lawphil.net/statutes/repacts/ra1997/ra_8424_1997.html" TargetMode="External"/><Relationship Id="rIdhhs-vgsljhr1aydnao6dz" Type="http://schemas.openxmlformats.org/officeDocument/2006/relationships/hyperlink" Target="https://lawphil.net/statutes/repacts/ra2017/ra_10963_2017.html"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AGREEMENT</dc:title>
  <dc:creator>LAW.PH</dc:creator>
  <dc:description>Free sample of the Intellectual Property Assignment Agreement from LAW.PH, with fictional details</dc:description>
  <cp:lastModifiedBy>Un-named</cp:lastModifiedBy>
  <cp:revision>1</cp:revision>
  <dcterms:created xsi:type="dcterms:W3CDTF">2026-10-02T05:29:57.080Z</dcterms:created>
  <dcterms:modified xsi:type="dcterms:W3CDTF">2026-10-02T05:29:57.080Z</dcterms:modified>
</cp:coreProperties>
</file>

<file path=docProps/custom.xml><?xml version="1.0" encoding="utf-8"?>
<Properties xmlns="http://schemas.openxmlformats.org/officeDocument/2006/custom-properties" xmlns:vt="http://schemas.openxmlformats.org/officeDocument/2006/docPropsVTypes"/>
</file>