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JOB OFFER AND PROBATIONARY EMPLOYMENT AGREEMENT</w:t>
      </w:r>
    </w:p>
    <w:p>
      <w:pPr>
        <w:spacing w:after="160"/>
        <w:jc w:val="center"/>
      </w:pPr>
      <w:r>
        <w:rPr>
          <w:rFonts w:ascii="Calibri" w:cs="Calibri" w:eastAsia="Calibri" w:hAnsi="Calibri"/>
          <w:color w:val="566674"/>
          <w:sz w:val="18"/>
          <w:szCs w:val="18"/>
        </w:rPr>
        <w:t xml:space="preserve">Republic of the Philippines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This Job Offer and Probationary Employment Agreement (the “Agreement”) is made on August 31, 2026 between Sampaguita Labs, Inc., a corporation with principal address at 100 Ayala Avenue, Makati City 1226, as “Employer,” and Juan Dela Cruz, with address at 20 Kalayaan Avenue, Quezon City 1100, as “Employee.” If timely accepted and applicable conditions are satisfied or waived, employment is intended to begin on September 15, 2026.</w:t>
      </w:r>
    </w:p>
    <w:p>
      <w:pPr>
        <w:keepLines/>
        <w:spacing w:after="120" w:line="264"/>
        <w:jc w:val="both"/>
      </w:pPr>
      <w:r>
        <w:rPr>
          <w:rFonts w:ascii="Calibri" w:cs="Calibri" w:eastAsia="Calibri" w:hAnsi="Calibri"/>
          <w:sz w:val="22"/>
          <w:szCs w:val="22"/>
        </w:rPr>
        <w:t xml:space="preserve">The parties intend an employer-employee relationship governed by Philippine law. Nothing in this Agreement waives a minimum labor standard, statutory benefit, security of tenure, collective-bargaining right, or other mandatory protection.</w:t>
      </w:r>
    </w:p>
    <w:p>
      <w:pPr>
        <w:pStyle w:val="Heading2"/>
        <w:keepNext/>
        <w:spacing w:after="120" w:before="240"/>
      </w:pPr>
      <w:r>
        <w:rPr>
          <w:rFonts w:ascii="Calibri" w:cs="Calibri" w:eastAsia="Calibri" w:hAnsi="Calibri"/>
          <w:b/>
          <w:bCs/>
          <w:color w:val="102B3F"/>
          <w:sz w:val="26"/>
          <w:szCs w:val="26"/>
        </w:rPr>
        <w:t xml:space="preserve">Offer, acceptance, and pre-employment conditions</w:t>
      </w:r>
    </w:p>
    <w:p>
      <w:pPr>
        <w:keepLines/>
        <w:spacing w:after="120" w:line="264"/>
        <w:jc w:val="both"/>
      </w:pPr>
      <w:r>
        <w:rPr>
          <w:rFonts w:ascii="Calibri" w:cs="Calibri" w:eastAsia="Calibri" w:hAnsi="Calibri"/>
          <w:sz w:val="22"/>
          <w:szCs w:val="22"/>
        </w:rPr>
        <w:t xml:space="preserve">Sampaguita Labs, Inc. offers Juan Dela Cruz the position and terms stated in this document. The signed acceptance must be received by September 7, 2026 unless the Employer extends that deadline in writing. On timely signed acceptance, this document records the parties' agreement; actual work and compensation begin on the lawful start date unless the parties record another date in writing.</w:t>
      </w:r>
    </w:p>
    <w:p>
      <w:pPr>
        <w:keepLines/>
        <w:spacing w:after="120" w:line="264"/>
        <w:jc w:val="both"/>
      </w:pPr>
      <w:r>
        <w:rPr>
          <w:rFonts w:ascii="Calibri" w:cs="Calibri" w:eastAsia="Calibri" w:hAnsi="Calibri"/>
          <w:sz w:val="22"/>
          <w:szCs w:val="22"/>
        </w:rPr>
        <w:t xml:space="preserve">This offer is subject to: verification of the identity and work-eligibility documents specifically requested by the Employer; satisfactory, role-relevant verification of the disclosed references or employment history. The objective details and acceptable evidence are: Government-issued identity and the two disclosed professional references will be verified by Human Resources against the candidate's submitted records. These conditions must be satisfied or expressly waived in writing by September 10, 2026.</w:t>
      </w:r>
    </w:p>
    <w:p>
      <w:pPr>
        <w:keepLines/>
        <w:spacing w:after="120" w:line="264"/>
        <w:jc w:val="both"/>
      </w:pPr>
      <w:r>
        <w:rPr>
          <w:rFonts w:ascii="Calibri" w:cs="Calibri" w:eastAsia="Calibri" w:hAnsi="Calibri"/>
          <w:sz w:val="22"/>
          <w:szCs w:val="22"/>
        </w:rPr>
        <w:t xml:space="preserve">A condition shall be assessed honestly, consistently, on objective and job-related information, and without unlawful discrimination. Recruitment and medical information shall be collected only for a lawful, specified purpose, kept appropriately confidential, and retained only as necessary. A condition does not erase rights arising from work actually permitted or performed.</w:t>
      </w:r>
    </w:p>
    <w:p>
      <w:pPr>
        <w:keepLines/>
        <w:spacing w:after="120" w:line="264"/>
        <w:jc w:val="both"/>
      </w:pPr>
      <w:r>
        <w:rPr>
          <w:rFonts w:ascii="Calibri" w:cs="Calibri" w:eastAsia="Calibri" w:hAnsi="Calibri"/>
          <w:sz w:val="22"/>
          <w:szCs w:val="22"/>
        </w:rPr>
        <w:t xml:space="preserve">Before acceptance the Employer may withdraw the offer by written notice. After timely acceptance, neither an internal approval label nor an unexpressed condition permits either party to disregard this Agreement or mandatory Philippine employment law.</w:t>
      </w:r>
    </w:p>
    <w:p>
      <w:pPr>
        <w:pStyle w:val="Heading2"/>
        <w:keepNext/>
        <w:spacing w:after="120" w:before="240"/>
      </w:pPr>
      <w:r>
        <w:rPr>
          <w:rFonts w:ascii="Calibri" w:cs="Calibri" w:eastAsia="Calibri" w:hAnsi="Calibri"/>
          <w:b/>
          <w:bCs/>
          <w:color w:val="102B3F"/>
          <w:sz w:val="26"/>
          <w:szCs w:val="26"/>
        </w:rPr>
        <w:t xml:space="preserve">1. Appointment and status</w:t>
      </w:r>
    </w:p>
    <w:p>
      <w:pPr>
        <w:keepLines/>
        <w:spacing w:after="120" w:line="264"/>
        <w:jc w:val="both"/>
      </w:pPr>
      <w:r>
        <w:rPr>
          <w:rFonts w:ascii="Calibri" w:cs="Calibri" w:eastAsia="Calibri" w:hAnsi="Calibri"/>
          <w:sz w:val="22"/>
          <w:szCs w:val="22"/>
        </w:rPr>
        <w:t xml:space="preserve">The Employer appoints the Employee as Product Designer in the Product department or team. The Employee accepts the appointment as a probationary employee and shall report to Head of Product.</w:t>
      </w:r>
    </w:p>
    <w:p>
      <w:pPr>
        <w:keepLines/>
        <w:spacing w:after="120" w:line="264"/>
        <w:jc w:val="both"/>
      </w:pPr>
      <w:r>
        <w:rPr>
          <w:rFonts w:ascii="Calibri" w:cs="Calibri" w:eastAsia="Calibri" w:hAnsi="Calibri"/>
          <w:sz w:val="22"/>
          <w:szCs w:val="22"/>
        </w:rPr>
        <w:t xml:space="preserve">The probationary period is 6 months, or 180 days counted from the day after the start date, and ends on March 14, 2027. If the Employee actually starts on a different day, the period ends 180 days after the actual start date. It does not exceed the six months (180 days) allowed by Article 296 [281] of the Labor Code. At engagement, the Employer communicates these reasonable standards for regularization: Deliver accurate design specifications by agreed deadlines; maintain the documented design system; complete assigned user research with usable findings; attend scheduled work and feedback sessions; and comply with security, privacy, and workplace policies. Any written notice that the Employee has not met these standards shall be served within a reasonable time before the probationary period ends, and in any case no later than March 9, 2027. The Employee shall be treated as regular if allowed to work after the probationary period ends.</w:t>
      </w:r>
    </w:p>
    <w:p>
      <w:pPr>
        <w:keepLines/>
        <w:spacing w:after="120" w:line="264"/>
        <w:jc w:val="both"/>
      </w:pPr>
      <w:r>
        <w:rPr>
          <w:rFonts w:ascii="Calibri" w:cs="Calibri" w:eastAsia="Calibri" w:hAnsi="Calibri"/>
          <w:sz w:val="22"/>
          <w:szCs w:val="22"/>
        </w:rPr>
        <w:t xml:space="preserve">Probationary performance will be evaluated by Head of Product, with review by Human Resources. The documented evaluation and feedback process is: Written orientation on the start date, documented feedback at the second and fourth months, and a final written assessment no later than ten calendar days before the probationary period ends. These checkpoints support fair feedback and evidence; they do not replace the standards made known at engagement or extend the lawful probationary period. The final assessment shall be completed, and any notice that the Employee has not met the standards served, no later than March 9, 2027, before the probationary period ends on March 14, 2027.</w:t>
      </w:r>
    </w:p>
    <w:p>
      <w:pPr>
        <w:pStyle w:val="Heading2"/>
        <w:keepNext/>
        <w:spacing w:after="120" w:before="240"/>
      </w:pPr>
      <w:r>
        <w:rPr>
          <w:rFonts w:ascii="Calibri" w:cs="Calibri" w:eastAsia="Calibri" w:hAnsi="Calibri"/>
          <w:b/>
          <w:bCs/>
          <w:color w:val="102B3F"/>
          <w:sz w:val="26"/>
          <w:szCs w:val="26"/>
        </w:rPr>
        <w:t xml:space="preserve">2. Duties, standards, and policies</w:t>
      </w:r>
    </w:p>
    <w:p>
      <w:pPr>
        <w:keepLines/>
        <w:spacing w:after="120" w:line="264"/>
        <w:jc w:val="both"/>
      </w:pPr>
      <w:r>
        <w:rPr>
          <w:rFonts w:ascii="Calibri" w:cs="Calibri" w:eastAsia="Calibri" w:hAnsi="Calibri"/>
          <w:sz w:val="22"/>
          <w:szCs w:val="22"/>
        </w:rPr>
        <w:t xml:space="preserve">The Employee's principal duties are: Design product workflows, maintain the design system, conduct user research, and prepare implementation specifications and handoff records. The Employee shall perform faithfully, competently, safely, and lawfully; protect the Employer's legitimate interests; follow reasonable written instructions; and comply with lawful policies supplied or made reasonably accessible to the Employee.</w:t>
      </w:r>
    </w:p>
    <w:p>
      <w:pPr>
        <w:keepLines/>
        <w:spacing w:after="120" w:line="264"/>
        <w:jc w:val="both"/>
      </w:pPr>
      <w:r>
        <w:rPr>
          <w:rFonts w:ascii="Calibri" w:cs="Calibri" w:eastAsia="Calibri" w:hAnsi="Calibri"/>
          <w:sz w:val="22"/>
          <w:szCs w:val="22"/>
        </w:rPr>
        <w:t xml:space="preserve">The Employer may reasonably adjust assignments, reporting lines, tools, or procedures to meet legitimate business needs, but shall not use a change to evade law, reduce vested or mandatory benefits, constructively dismiss the Employee, or materially alter the employment relationship unlawfully.</w:t>
      </w:r>
    </w:p>
    <w:p>
      <w:pPr>
        <w:pStyle w:val="Heading2"/>
        <w:keepNext/>
        <w:spacing w:after="120" w:before="240"/>
      </w:pPr>
      <w:r>
        <w:rPr>
          <w:rFonts w:ascii="Calibri" w:cs="Calibri" w:eastAsia="Calibri" w:hAnsi="Calibri"/>
          <w:b/>
          <w:bCs/>
          <w:color w:val="102B3F"/>
          <w:sz w:val="26"/>
          <w:szCs w:val="26"/>
        </w:rPr>
        <w:t xml:space="preserve">3. Workplace and working time</w:t>
      </w:r>
    </w:p>
    <w:p>
      <w:pPr>
        <w:keepLines/>
        <w:spacing w:after="120" w:line="264"/>
        <w:jc w:val="both"/>
      </w:pPr>
      <w:r>
        <w:rPr>
          <w:rFonts w:ascii="Calibri" w:cs="Calibri" w:eastAsia="Calibri" w:hAnsi="Calibri"/>
          <w:sz w:val="22"/>
          <w:szCs w:val="22"/>
        </w:rPr>
        <w:t xml:space="preserve">The normal arrangement is primarily on-site. The principal workplace or reporting location is 100 Ayala Avenue, Makati City 1226.</w:t>
      </w:r>
    </w:p>
    <w:p>
      <w:pPr>
        <w:keepLines/>
        <w:spacing w:after="120" w:line="264"/>
        <w:jc w:val="both"/>
      </w:pPr>
      <w:r>
        <w:rPr>
          <w:rFonts w:ascii="Calibri" w:cs="Calibri" w:eastAsia="Calibri" w:hAnsi="Calibri"/>
          <w:sz w:val="22"/>
          <w:szCs w:val="22"/>
        </w:rPr>
        <w:t xml:space="preserve">Normal workdays are Monday to Friday; the normal schedule is 9:00 a.m. to 6:00 p.m., with a one-hour unpaid meal period; normal working time is 8 hours per day; and the normal weekly rest day is Sunday. Normal hours do not exceed eight a day (Article 83 of the Labor Code); work beyond eight hours a day is overtime and is paid the overtime premium where the position is covered by the hours-of-work rules (Article 87). Actual hours, meal periods, rest days, overtime, night work, and work on holidays or rest days remain subject to the Labor Code, applicable wage orders, lawful scheduling rules, and any more favorable policy or practice.</w:t>
      </w:r>
    </w:p>
    <w:p>
      <w:pPr>
        <w:keepLines/>
        <w:spacing w:after="120" w:line="264"/>
        <w:jc w:val="both"/>
      </w:pPr>
      <w:r>
        <w:rPr>
          <w:rFonts w:ascii="Calibri" w:cs="Calibri" w:eastAsia="Calibri" w:hAnsi="Calibri"/>
          <w:sz w:val="22"/>
          <w:szCs w:val="22"/>
        </w:rPr>
        <w:t xml:space="preserve">The parties route the position through the ordinary hours-of-work and premium-pay rules. Overtime or work on a rest day or holiday must be authorized when practicable, but lack of prior approval does not erase compensation that mandatory law requires for work suffered or permitted.</w:t>
      </w:r>
    </w:p>
    <w:p>
      <w:pPr>
        <w:pStyle w:val="Heading2"/>
        <w:keepNext/>
        <w:spacing w:after="120" w:before="240"/>
      </w:pPr>
      <w:r>
        <w:rPr>
          <w:rFonts w:ascii="Calibri" w:cs="Calibri" w:eastAsia="Calibri" w:hAnsi="Calibri"/>
          <w:b/>
          <w:bCs/>
          <w:color w:val="102B3F"/>
          <w:sz w:val="26"/>
          <w:szCs w:val="26"/>
        </w:rPr>
        <w:t xml:space="preserve">4. Compensation</w:t>
      </w:r>
    </w:p>
    <w:p>
      <w:pPr>
        <w:keepLines/>
        <w:spacing w:after="120" w:line="264"/>
        <w:jc w:val="both"/>
      </w:pPr>
      <w:r>
        <w:rPr>
          <w:rFonts w:ascii="Calibri" w:cs="Calibri" w:eastAsia="Calibri" w:hAnsi="Calibri"/>
          <w:sz w:val="22"/>
          <w:szCs w:val="22"/>
        </w:rPr>
        <w:t xml:space="preserve">The Employer shall pay basic pay of ₱30,000.00 per month, on a semi-monthly payroll, less only deductions authorized by law or by a valid written authorization. The rate shall not be below the applicable regional or sectoral minimum wage and shall be adjusted when mandatory law or a wage order requires.</w:t>
      </w:r>
    </w:p>
    <w:p>
      <w:pPr>
        <w:keepLines/>
        <w:spacing w:after="120" w:line="264"/>
        <w:jc w:val="both"/>
      </w:pPr>
      <w:r>
        <w:rPr>
          <w:rFonts w:ascii="Calibri" w:cs="Calibri" w:eastAsia="Calibri" w:hAnsi="Calibri"/>
          <w:sz w:val="22"/>
          <w:szCs w:val="22"/>
        </w:rPr>
        <w:t xml:space="preserve">The Employer shall issue an accurate payslip and maintain payroll records as required by law. Any bonus, incentive, commission, or allowance not stated as guaranteed remains governed by its written plan, eligibility rules, established practice, and mandatory non-diminution principles.</w:t>
      </w:r>
    </w:p>
    <w:p>
      <w:pPr>
        <w:pStyle w:val="Heading2"/>
        <w:keepNext/>
        <w:spacing w:after="120" w:before="240"/>
      </w:pPr>
      <w:r>
        <w:rPr>
          <w:rFonts w:ascii="Calibri" w:cs="Calibri" w:eastAsia="Calibri" w:hAnsi="Calibri"/>
          <w:b/>
          <w:bCs/>
          <w:color w:val="102B3F"/>
          <w:sz w:val="26"/>
          <w:szCs w:val="26"/>
        </w:rPr>
        <w:t xml:space="preserve">5. Statutory and company benefits</w:t>
      </w:r>
    </w:p>
    <w:p>
      <w:pPr>
        <w:keepLines/>
        <w:spacing w:after="120" w:line="264"/>
        <w:jc w:val="both"/>
      </w:pPr>
      <w:r>
        <w:rPr>
          <w:rFonts w:ascii="Calibri" w:cs="Calibri" w:eastAsia="Calibri" w:hAnsi="Calibri"/>
          <w:sz w:val="22"/>
          <w:szCs w:val="22"/>
        </w:rPr>
        <w:t xml:space="preserve">The Employee shall receive 13th-month pay, service-incentive leave when covered, holiday and premium pay when covered, and all other monetary benefits required by the Labor Code, Presidential Decree No. 851, applicable wage orders, special leave laws, and current DOLE rules. The Employer shall register, report, deduct, remit, and contribute for SSS, PhilHealth, Pag-IBIG, Employees' Compensation, and tax as required.</w:t>
      </w:r>
    </w:p>
    <w:p>
      <w:pPr>
        <w:keepLines/>
        <w:spacing w:after="120" w:line="264"/>
        <w:jc w:val="both"/>
      </w:pPr>
      <w:r>
        <w:rPr>
          <w:rFonts w:ascii="Calibri" w:cs="Calibri" w:eastAsia="Calibri" w:hAnsi="Calibri"/>
          <w:sz w:val="22"/>
          <w:szCs w:val="22"/>
        </w:rPr>
        <w:t xml:space="preserve">A company plan, handbook, or benefit may contain eligibility and administration rules, but no plan term may reduce a statutory minimum or an earned benefit contrary to law. More favorable benefits arising from contract, collective agreement, policy, or established practice remain effective according to law.</w:t>
      </w:r>
    </w:p>
    <w:p>
      <w:pPr>
        <w:pStyle w:val="Heading2"/>
        <w:keepNext/>
        <w:spacing w:after="120" w:before="240"/>
      </w:pPr>
      <w:r>
        <w:rPr>
          <w:rFonts w:ascii="Calibri" w:cs="Calibri" w:eastAsia="Calibri" w:hAnsi="Calibri"/>
          <w:b/>
          <w:bCs/>
          <w:color w:val="102B3F"/>
          <w:sz w:val="26"/>
          <w:szCs w:val="26"/>
        </w:rPr>
        <w:t xml:space="preserve">6. Expenses, tools, and safety</w:t>
      </w:r>
    </w:p>
    <w:p>
      <w:pPr>
        <w:keepLines/>
        <w:spacing w:after="120" w:line="264"/>
        <w:jc w:val="both"/>
      </w:pPr>
      <w:r>
        <w:rPr>
          <w:rFonts w:ascii="Calibri" w:cs="Calibri" w:eastAsia="Calibri" w:hAnsi="Calibri"/>
          <w:sz w:val="22"/>
          <w:szCs w:val="22"/>
        </w:rPr>
        <w:t xml:space="preserve">Reasonable and necessary business expenses approved in advance and supported by receipts will be reimbursed under company policy. Company property and access credentials remain subject to inventory, acceptable-use, security, and return procedures.</w:t>
      </w:r>
    </w:p>
    <w:p>
      <w:pPr>
        <w:keepLines/>
        <w:spacing w:after="120" w:line="264"/>
        <w:jc w:val="both"/>
      </w:pPr>
      <w:r>
        <w:rPr>
          <w:rFonts w:ascii="Calibri" w:cs="Calibri" w:eastAsia="Calibri" w:hAnsi="Calibri"/>
          <w:sz w:val="22"/>
          <w:szCs w:val="22"/>
        </w:rPr>
        <w:t xml:space="preserve">The Employer shall provide a workplace and system of work consistent with Republic Act No. 11058 and applicable occupational-safety rules. The Employee shall follow reasonable safety and incident-reporting procedures and promptly report hazards, injuries, security events, and lost equipment. Remote work does not eliminate either party's applicable safety, privacy, and information-security duties.</w:t>
      </w:r>
    </w:p>
    <w:p>
      <w:pPr>
        <w:pStyle w:val="Heading2"/>
        <w:keepNext/>
        <w:spacing w:after="120" w:before="240"/>
      </w:pPr>
      <w:r>
        <w:rPr>
          <w:rFonts w:ascii="Calibri" w:cs="Calibri" w:eastAsia="Calibri" w:hAnsi="Calibri"/>
          <w:b/>
          <w:bCs/>
          <w:color w:val="102B3F"/>
          <w:sz w:val="26"/>
          <w:szCs w:val="26"/>
        </w:rPr>
        <w:t xml:space="preserve">7. Confidential information</w:t>
      </w:r>
    </w:p>
    <w:p>
      <w:pPr>
        <w:keepLines/>
        <w:spacing w:after="120" w:line="264"/>
        <w:jc w:val="both"/>
      </w:pPr>
      <w:r>
        <w:rPr>
          <w:rFonts w:ascii="Calibri" w:cs="Calibri" w:eastAsia="Calibri" w:hAnsi="Calibri"/>
          <w:sz w:val="22"/>
          <w:szCs w:val="22"/>
        </w:rPr>
        <w:t xml:space="preserve">The Employee may receive non-public information including business plans, operations, strategies, and internal policies; pricing, budgets, financial records, and forecasts; customer, prospect, supplier, and partner information. “Confidential Information” excludes information the Employee can show was lawfully known without duty, becomes public without breach, is lawfully received from another source without duty, or is independently developed without use of protected information.</w:t>
      </w:r>
    </w:p>
    <w:p>
      <w:pPr>
        <w:keepLines/>
        <w:spacing w:after="120" w:line="264"/>
        <w:jc w:val="both"/>
      </w:pPr>
      <w:r>
        <w:rPr>
          <w:rFonts w:ascii="Calibri" w:cs="Calibri" w:eastAsia="Calibri" w:hAnsi="Calibri"/>
          <w:sz w:val="22"/>
          <w:szCs w:val="22"/>
        </w:rPr>
        <w:t xml:space="preserve">During and after employment, the Employee shall use Confidential Information only for authorized work, disclose it only to authorized persons with a need to know, apply at least reasonable care and required security controls, and comply with lawful return, deletion, preservation, and incident-reporting directions. This clause does not prohibit a disclosure protected or required by law, a good-faith report to a competent authority, lawful exercise of labor rights, or consultation with the Employee's lawyer or representative under an appropriate duty.</w:t>
      </w:r>
    </w:p>
    <w:p>
      <w:pPr>
        <w:pStyle w:val="Heading2"/>
        <w:keepNext/>
        <w:spacing w:after="120" w:before="240"/>
      </w:pPr>
      <w:r>
        <w:rPr>
          <w:rFonts w:ascii="Calibri" w:cs="Calibri" w:eastAsia="Calibri" w:hAnsi="Calibri"/>
          <w:b/>
          <w:bCs/>
          <w:color w:val="102B3F"/>
          <w:sz w:val="26"/>
          <w:szCs w:val="26"/>
        </w:rPr>
        <w:t xml:space="preserve">8. Work product and intellectual property</w:t>
      </w:r>
    </w:p>
    <w:p>
      <w:pPr>
        <w:keepLines/>
        <w:spacing w:after="120" w:line="264"/>
        <w:jc w:val="both"/>
      </w:pPr>
      <w:r>
        <w:rPr>
          <w:rFonts w:ascii="Calibri" w:cs="Calibri" w:eastAsia="Calibri" w:hAnsi="Calibri"/>
          <w:sz w:val="22"/>
          <w:szCs w:val="22"/>
        </w:rPr>
        <w:t xml:space="preserve">Ownership of works, inventions, designs, developments, data, documentation, and other work product created in the course of assigned duties shall be determined by Republic Act No. 8293, the actual circumstances, and any separate valid written assignment. The Employee should disclose pre-existing material before incorporating it into a deliverable.</w:t>
      </w:r>
    </w:p>
    <w:p>
      <w:pPr>
        <w:keepLines/>
        <w:spacing w:after="120" w:line="264"/>
        <w:jc w:val="both"/>
      </w:pPr>
      <w:r>
        <w:rPr>
          <w:rFonts w:ascii="Calibri" w:cs="Calibri" w:eastAsia="Calibri" w:hAnsi="Calibri"/>
          <w:sz w:val="22"/>
          <w:szCs w:val="22"/>
        </w:rPr>
        <w:t xml:space="preserve">To the extent the Employer lawfully owns work product, the Employee shall provide reasonable execution assistance for documentation and protection. No clause transfers moral rights, unrelated personal creations, open-source rights, or third-party material beyond what law and a valid written instrument permit. The Employee shall not incorporate third-party material without required authorization and license compliance.</w:t>
      </w:r>
    </w:p>
    <w:p>
      <w:pPr>
        <w:pStyle w:val="Heading2"/>
        <w:keepNext/>
        <w:spacing w:after="120" w:before="240"/>
      </w:pPr>
      <w:r>
        <w:rPr>
          <w:rFonts w:ascii="Calibri" w:cs="Calibri" w:eastAsia="Calibri" w:hAnsi="Calibri"/>
          <w:b/>
          <w:bCs/>
          <w:color w:val="102B3F"/>
          <w:sz w:val="26"/>
          <w:szCs w:val="26"/>
        </w:rPr>
        <w:t xml:space="preserve">9. Employee privacy and monitoring</w:t>
      </w:r>
    </w:p>
    <w:p>
      <w:pPr>
        <w:keepLines/>
        <w:spacing w:after="120" w:line="264"/>
        <w:jc w:val="both"/>
      </w:pPr>
      <w:r>
        <w:rPr>
          <w:rFonts w:ascii="Calibri" w:cs="Calibri" w:eastAsia="Calibri" w:hAnsi="Calibri"/>
          <w:sz w:val="22"/>
          <w:szCs w:val="22"/>
        </w:rPr>
        <w:t xml:space="preserve">The Employer may process employment-related personal data only on a lawful basis and for specified legitimate purposes such as recruitment, payroll, benefits, performance, security, compliance, and workforce administration. The Employer shall provide an appropriate privacy notice describing data, purposes, methods, recipients, retention, rights, and responsible contacts; apply transparency, legitimate-purpose, proportionality, retention, and security requirements; and avoid relying on this Agreement as blanket consent.</w:t>
      </w:r>
    </w:p>
    <w:p>
      <w:pPr>
        <w:keepLines/>
        <w:spacing w:after="120" w:line="264"/>
        <w:jc w:val="both"/>
      </w:pPr>
      <w:r>
        <w:rPr>
          <w:rFonts w:ascii="Calibri" w:cs="Calibri" w:eastAsia="Calibri" w:hAnsi="Calibri"/>
          <w:sz w:val="22"/>
          <w:szCs w:val="22"/>
        </w:rPr>
        <w:t xml:space="preserve">Any workplace or remote-work monitoring must be disclosed, necessary, proportionate, and implemented through lawful policy and safeguards. The Employee shall handle personal data encountered at work only as authorized and report suspected loss, misuse, or unauthorized access promptly.</w:t>
      </w:r>
    </w:p>
    <w:p>
      <w:pPr>
        <w:pStyle w:val="Heading2"/>
        <w:keepNext/>
        <w:spacing w:after="120" w:before="240"/>
      </w:pPr>
      <w:r>
        <w:rPr>
          <w:rFonts w:ascii="Calibri" w:cs="Calibri" w:eastAsia="Calibri" w:hAnsi="Calibri"/>
          <w:b/>
          <w:bCs/>
          <w:color w:val="102B3F"/>
          <w:sz w:val="26"/>
          <w:szCs w:val="26"/>
        </w:rPr>
        <w:t xml:space="preserve">10. Conduct, conflicts, and outside activity</w:t>
      </w:r>
    </w:p>
    <w:p>
      <w:pPr>
        <w:keepLines/>
        <w:spacing w:after="120" w:line="264"/>
        <w:jc w:val="both"/>
      </w:pPr>
      <w:r>
        <w:rPr>
          <w:rFonts w:ascii="Calibri" w:cs="Calibri" w:eastAsia="Calibri" w:hAnsi="Calibri"/>
          <w:sz w:val="22"/>
          <w:szCs w:val="22"/>
        </w:rPr>
        <w:t xml:space="preserve">The Employee shall disclose an actual material conflict of interest and shall not misuse working time, confidential information, authority, or company property for an undisclosed competing interest. A restriction on outside activity shall be applied only to protect a legitimate interest, during relevant working or engagement periods, and in a manner consistent with law and the Employee's rights. This Agreement creates no post-employment non-compete covenant.</w:t>
      </w:r>
    </w:p>
    <w:p>
      <w:pPr>
        <w:pStyle w:val="Heading2"/>
        <w:keepNext/>
        <w:spacing w:after="120" w:before="240"/>
      </w:pPr>
      <w:r>
        <w:rPr>
          <w:rFonts w:ascii="Calibri" w:cs="Calibri" w:eastAsia="Calibri" w:hAnsi="Calibri"/>
          <w:b/>
          <w:bCs/>
          <w:color w:val="102B3F"/>
          <w:sz w:val="26"/>
          <w:szCs w:val="26"/>
        </w:rPr>
        <w:t xml:space="preserve">11. Discipline and termination</w:t>
      </w:r>
    </w:p>
    <w:p>
      <w:pPr>
        <w:keepLines/>
        <w:spacing w:after="120" w:line="264"/>
        <w:jc w:val="both"/>
      </w:pPr>
      <w:r>
        <w:rPr>
          <w:rFonts w:ascii="Calibri" w:cs="Calibri" w:eastAsia="Calibri" w:hAnsi="Calibri"/>
          <w:sz w:val="22"/>
          <w:szCs w:val="22"/>
        </w:rPr>
        <w:t xml:space="preserve">Employment may end only in accordance with the Labor Code and other applicable law. Employer-initiated termination requires a legally sufficient just or authorized cause and the notices, opportunity to be heard, DOLE notice, separation pay, certification, or other procedure applicable to that cause. A probationary employee may also be separated for failure to meet reasonable standards made known at engagement, through the notice required by law. No policy or clause creates an automatic dismissal without an individualized lawful process.</w:t>
      </w:r>
    </w:p>
    <w:p>
      <w:pPr>
        <w:keepLines/>
        <w:spacing w:after="120" w:line="264"/>
        <w:jc w:val="both"/>
      </w:pPr>
      <w:r>
        <w:rPr>
          <w:rFonts w:ascii="Calibri" w:cs="Calibri" w:eastAsia="Calibri" w:hAnsi="Calibri"/>
          <w:sz w:val="22"/>
          <w:szCs w:val="22"/>
        </w:rPr>
        <w:t xml:space="preserve">The Employee may resign by written notice served at least one month (30 days) in advance (Article 300 [285](a) of the Labor Code) unless a lawful just cause permits otherwise or the Employer agrees to a different arrangement. On separation, the Employer shall pay earned compensation and benefits and issue records within the periods required by law; the Employee shall return company property and reasonably cooperate in an orderly handover. Neither party waives claims, defenses, or procedures by signing a routine clearance.</w:t>
      </w:r>
    </w:p>
    <w:p>
      <w:pPr>
        <w:pStyle w:val="Heading2"/>
        <w:keepNext/>
        <w:spacing w:after="120" w:before="240"/>
      </w:pPr>
      <w:r>
        <w:rPr>
          <w:rFonts w:ascii="Calibri" w:cs="Calibri" w:eastAsia="Calibri" w:hAnsi="Calibri"/>
          <w:b/>
          <w:bCs/>
          <w:color w:val="102B3F"/>
          <w:sz w:val="26"/>
          <w:szCs w:val="26"/>
        </w:rPr>
        <w:t xml:space="preserve">12. Notices</w:t>
      </w:r>
    </w:p>
    <w:p>
      <w:pPr>
        <w:keepLines/>
        <w:spacing w:after="120" w:line="264"/>
        <w:jc w:val="both"/>
      </w:pPr>
      <w:r>
        <w:rPr>
          <w:rFonts w:ascii="Calibri" w:cs="Calibri" w:eastAsia="Calibri" w:hAnsi="Calibri"/>
          <w:sz w:val="22"/>
          <w:szCs w:val="22"/>
        </w:rPr>
        <w:t xml:space="preserve">Ordinary contractual notices shall be in writing and delivered personally, by reputable courier, or by email with evidence of transmission. Notices to the Employer shall be sent to 100 Ayala Avenue, Makati City 1226 and hr@sampaguita.example; notices to the Employee shall be sent to 20 Kalayaan Avenue, Quezon City 1100 and juan@example.com, or to replacement contact details designated in writing. Statutory employment notices must additionally follow the method, content, timing, and recipient requirements of applicable law.</w:t>
      </w:r>
    </w:p>
    <w:p>
      <w:pPr>
        <w:pStyle w:val="Heading2"/>
        <w:keepNext/>
        <w:spacing w:after="120" w:before="240"/>
      </w:pPr>
      <w:r>
        <w:rPr>
          <w:rFonts w:ascii="Calibri" w:cs="Calibri" w:eastAsia="Calibri" w:hAnsi="Calibri"/>
          <w:b/>
          <w:bCs/>
          <w:color w:val="102B3F"/>
          <w:sz w:val="26"/>
          <w:szCs w:val="26"/>
        </w:rPr>
        <w:t xml:space="preserve">13. Governing law and dispute process</w:t>
      </w:r>
    </w:p>
    <w:p>
      <w:pPr>
        <w:keepLines/>
        <w:spacing w:after="120" w:line="264"/>
        <w:jc w:val="both"/>
      </w:pPr>
      <w:r>
        <w:rPr>
          <w:rFonts w:ascii="Calibri" w:cs="Calibri" w:eastAsia="Calibri" w:hAnsi="Calibri"/>
          <w:sz w:val="22"/>
          <w:szCs w:val="22"/>
        </w:rPr>
        <w:t xml:space="preserve">This Agreement is governed by the laws of the Republic of the Philippines. Labor disputes remain within the jurisdiction and mandatory conciliation, mediation, administrative, or judicial process fixed by law. Subject to those mandatory rules, other actions may be brought before the proper tribunal or courts of Makati City.</w:t>
      </w:r>
    </w:p>
    <w:p>
      <w:pPr>
        <w:pStyle w:val="Heading2"/>
        <w:keepNext/>
        <w:spacing w:after="120" w:before="240"/>
      </w:pPr>
      <w:r>
        <w:rPr>
          <w:rFonts w:ascii="Calibri" w:cs="Calibri" w:eastAsia="Calibri" w:hAnsi="Calibri"/>
          <w:b/>
          <w:bCs/>
          <w:color w:val="102B3F"/>
          <w:sz w:val="26"/>
          <w:szCs w:val="26"/>
        </w:rPr>
        <w:t xml:space="preserve">14. General terms</w:t>
      </w:r>
    </w:p>
    <w:p>
      <w:pPr>
        <w:keepLines/>
        <w:spacing w:after="120" w:line="264"/>
        <w:jc w:val="both"/>
      </w:pPr>
      <w:r>
        <w:rPr>
          <w:rFonts w:ascii="Calibri" w:cs="Calibri" w:eastAsia="Calibri" w:hAnsi="Calibri"/>
          <w:sz w:val="22"/>
          <w:szCs w:val="22"/>
        </w:rPr>
        <w:t xml:space="preserve">This Agreement, its signed role description, and lawful incorporated policies record the parties' agreement on the employment terms stated here. An amendment must be written and signed, except for lawful policy changes within management authority. A waiver of one breach is not a waiver of another. If a term conflicts with mandatory law, mandatory law controls and the remainder continues to the extent lawful.</w:t>
      </w:r>
    </w:p>
    <w:p>
      <w:pPr>
        <w:pStyle w:val="Heading2"/>
        <w:keepNext/>
        <w:spacing w:after="120" w:before="240"/>
      </w:pPr>
      <w:r>
        <w:rPr>
          <w:rFonts w:ascii="Calibri" w:cs="Calibri" w:eastAsia="Calibri" w:hAnsi="Calibri"/>
          <w:b/>
          <w:bCs/>
          <w:color w:val="102B3F"/>
          <w:sz w:val="26"/>
          <w:szCs w:val="26"/>
        </w:rPr>
        <w:t xml:space="preserve">15. Counterparts and electronic signatures</w:t>
      </w:r>
    </w:p>
    <w:p>
      <w:pPr>
        <w:keepLines/>
        <w:spacing w:after="120" w:line="264"/>
        <w:jc w:val="both"/>
      </w:pPr>
      <w:r>
        <w:rPr>
          <w:rFonts w:ascii="Calibri" w:cs="Calibri" w:eastAsia="Calibri" w:hAnsi="Calibri"/>
          <w:sz w:val="22"/>
          <w:szCs w:val="22"/>
        </w:rPr>
        <w:t xml:space="preserve">The parties may sign in counterparts. Subject to Republic Act No. 8792 and applicable rules, a reliable electronic signature and electronic copy may satisfy writing and signature requirements. Each party shall retain the completed agreement and evidence of signer identity, intent, document integrity, and the signing event.</w:t>
      </w:r>
    </w:p>
    <w:p>
      <w:pPr>
        <w:keepNext/>
        <w:spacing w:after="260" w:before="360"/>
      </w:pPr>
      <w:r>
        <w:rPr>
          <w:rFonts w:ascii="Calibri" w:cs="Calibri" w:eastAsia="Calibri" w:hAnsi="Calibri"/>
          <w:b/>
          <w:bCs/>
          <w:sz w:val="22"/>
          <w:szCs w:val="22"/>
        </w:rPr>
        <w:t xml:space="preserve">IN WITNESS WHEREOF, the parties sign this document on the dates written below.</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Sampaguita Labs, Inc.</w:t>
            </w:r>
          </w:p>
          <w:p>
            <w:pPr>
              <w:spacing w:after="120"/>
            </w:pPr>
            <w:r>
              <w:rPr>
                <w:rFonts w:ascii="Calibri" w:cs="Calibri" w:eastAsia="Calibri" w:hAnsi="Calibri"/>
                <w:sz w:val="22"/>
                <w:szCs w:val="22"/>
              </w:rPr>
              <w:t xml:space="preserve">By: Maria Santos, President</w:t>
            </w:r>
          </w:p>
          <w:p>
            <w:pPr>
              <w:spacing w:after="120"/>
            </w:pPr>
            <w:r>
              <w:rPr>
                <w:rFonts w:ascii="Calibri" w:cs="Calibri" w:eastAsia="Calibri" w:hAnsi="Calibri"/>
                <w:sz w:val="22"/>
                <w:szCs w:val="22"/>
              </w:rPr>
              <w:t xml:space="preserve">Employer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Juan Dela Cruz</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Employee · Product Designer</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Deliver the complete offer, role description, and reasonable regularization standards together; retain evidence that the candidate received them at engagement.</w:t>
      </w:r>
    </w:p>
    <w:p>
      <w:pPr>
        <w:pStyle w:val="ListParagraph"/>
        <w:keepNext/>
        <w:numPr>
          <w:ilvl w:val="0"/>
          <w:numId w:val="1"/>
        </w:numPr>
        <w:spacing w:after="120" w:line="264"/>
      </w:pPr>
      <w:r>
        <w:rPr>
          <w:rFonts w:ascii="Calibri" w:cs="Calibri" w:eastAsia="Calibri" w:hAnsi="Calibri"/>
          <w:sz w:val="22"/>
          <w:szCs w:val="22"/>
        </w:rPr>
        <w:t xml:space="preserve">Obtain signed acceptance by September 7, 2026, and in any case before the start date, or record any written extension (still before the start date) before relying on the offer.</w:t>
      </w:r>
    </w:p>
    <w:p>
      <w:pPr>
        <w:pStyle w:val="ListParagraph"/>
        <w:keepNext/>
        <w:numPr>
          <w:ilvl w:val="0"/>
          <w:numId w:val="1"/>
        </w:numPr>
        <w:spacing w:after="120" w:line="264"/>
      </w:pPr>
      <w:r>
        <w:rPr>
          <w:rFonts w:ascii="Calibri" w:cs="Calibri" w:eastAsia="Calibri" w:hAnsi="Calibri"/>
          <w:sz w:val="22"/>
          <w:szCs w:val="22"/>
        </w:rPr>
        <w:t xml:space="preserve">Verify each stated pre-employment condition using the objective evidence and deadline written in the offer; document any written waiver or lawful non-satisfaction decision.</w:t>
      </w:r>
    </w:p>
    <w:p>
      <w:pPr>
        <w:pStyle w:val="ListParagraph"/>
        <w:keepNext/>
        <w:numPr>
          <w:ilvl w:val="0"/>
          <w:numId w:val="1"/>
        </w:numPr>
        <w:spacing w:after="120" w:line="264"/>
      </w:pPr>
      <w:r>
        <w:rPr>
          <w:rFonts w:ascii="Calibri" w:cs="Calibri" w:eastAsia="Calibri" w:hAnsi="Calibri"/>
          <w:sz w:val="22"/>
          <w:szCs w:val="22"/>
        </w:rPr>
        <w:t xml:space="preserve">Check the regional wage order in force at the actual workplace and start date, including sector, establishment-size, exemption, and tranche details; the agreement does not freeze an obsolete minimum.</w:t>
      </w:r>
    </w:p>
    <w:p>
      <w:pPr>
        <w:pStyle w:val="ListParagraph"/>
        <w:keepNext/>
        <w:numPr>
          <w:ilvl w:val="0"/>
          <w:numId w:val="1"/>
        </w:numPr>
        <w:spacing w:after="120" w:line="264"/>
      </w:pPr>
      <w:r>
        <w:rPr>
          <w:rFonts w:ascii="Calibri" w:cs="Calibri" w:eastAsia="Calibri" w:hAnsi="Calibri"/>
          <w:sz w:val="22"/>
          <w:szCs w:val="22"/>
        </w:rPr>
        <w:t xml:space="preserve">Verify the employer's legal name, registration details, signatory authority, and the employee's identity before signing.</w:t>
      </w:r>
    </w:p>
    <w:p>
      <w:pPr>
        <w:pStyle w:val="ListParagraph"/>
        <w:keepNext/>
        <w:numPr>
          <w:ilvl w:val="0"/>
          <w:numId w:val="1"/>
        </w:numPr>
        <w:spacing w:after="120" w:line="264"/>
      </w:pPr>
      <w:r>
        <w:rPr>
          <w:rFonts w:ascii="Calibri" w:cs="Calibri" w:eastAsia="Calibri" w:hAnsi="Calibri"/>
          <w:sz w:val="22"/>
          <w:szCs w:val="22"/>
        </w:rPr>
        <w:t xml:space="preserve">Check the current regional wage order, pay frequency, statutory deductions, payroll treatment of allowances, and all mandatory benefits for the actual workplace and sector.</w:t>
      </w:r>
    </w:p>
    <w:p>
      <w:pPr>
        <w:pStyle w:val="ListParagraph"/>
        <w:keepNext/>
        <w:numPr>
          <w:ilvl w:val="0"/>
          <w:numId w:val="1"/>
        </w:numPr>
        <w:spacing w:after="120" w:line="264"/>
      </w:pPr>
      <w:r>
        <w:rPr>
          <w:rFonts w:ascii="Calibri" w:cs="Calibri" w:eastAsia="Calibri" w:hAnsi="Calibri"/>
          <w:sz w:val="22"/>
          <w:szCs w:val="22"/>
        </w:rPr>
        <w:t xml:space="preserve">Deliver the reasonable regularization standards to the employee at engagement, on or before the start date, and retain signed evidence of receipt. Probation ends on March 14, 2027; complete the final evaluation and serve any notice of failure to meet the standards no later than March 9, 2027.</w:t>
      </w:r>
    </w:p>
    <w:p>
      <w:pPr>
        <w:pStyle w:val="ListParagraph"/>
        <w:keepNext/>
        <w:numPr>
          <w:ilvl w:val="0"/>
          <w:numId w:val="1"/>
        </w:numPr>
        <w:spacing w:after="120" w:line="264"/>
      </w:pPr>
      <w:r>
        <w:rPr>
          <w:rFonts w:ascii="Calibri" w:cs="Calibri" w:eastAsia="Calibri" w:hAnsi="Calibri"/>
          <w:sz w:val="22"/>
          <w:szCs w:val="22"/>
        </w:rPr>
        <w:t xml:space="preserve">Configure timekeeping, overtime authorization, rest-day, holiday, and night-shift processes consistently with the stated schedule and law.</w:t>
      </w:r>
    </w:p>
    <w:p>
      <w:pPr>
        <w:pStyle w:val="ListParagraph"/>
        <w:keepNext/>
        <w:numPr>
          <w:ilvl w:val="0"/>
          <w:numId w:val="1"/>
        </w:numPr>
        <w:spacing w:after="120" w:line="264"/>
      </w:pPr>
      <w:r>
        <w:rPr>
          <w:rFonts w:ascii="Calibri" w:cs="Calibri" w:eastAsia="Calibri" w:hAnsi="Calibri"/>
          <w:sz w:val="22"/>
          <w:szCs w:val="22"/>
        </w:rPr>
        <w:t xml:space="preserve">Complete workplace safety orientation and issue the relevant lawful policies.</w:t>
      </w:r>
    </w:p>
    <w:p>
      <w:pPr>
        <w:pStyle w:val="ListParagraph"/>
        <w:keepNext/>
        <w:numPr>
          <w:ilvl w:val="0"/>
          <w:numId w:val="1"/>
        </w:numPr>
        <w:spacing w:after="120" w:line="264"/>
      </w:pPr>
      <w:r>
        <w:rPr>
          <w:rFonts w:ascii="Calibri" w:cs="Calibri" w:eastAsia="Calibri" w:hAnsi="Calibri"/>
          <w:sz w:val="22"/>
          <w:szCs w:val="22"/>
        </w:rPr>
        <w:t xml:space="preserve">Provide the employee privacy notice, handbook and key policies separately; obtain acknowledgments without presenting them as waivers of mandatory rights.</w:t>
      </w:r>
    </w:p>
    <w:p>
      <w:pPr>
        <w:pStyle w:val="ListParagraph"/>
        <w:keepNext/>
        <w:numPr>
          <w:ilvl w:val="0"/>
          <w:numId w:val="1"/>
        </w:numPr>
        <w:spacing w:after="120" w:line="264"/>
      </w:pPr>
      <w:r>
        <w:rPr>
          <w:rFonts w:ascii="Calibri" w:cs="Calibri" w:eastAsia="Calibri" w:hAnsi="Calibri"/>
          <w:sz w:val="22"/>
          <w:szCs w:val="22"/>
        </w:rPr>
        <w:t xml:space="preserve">Give each party the exact signed agreement and attachments, and preserve evidence of delivery and signing.</w:t>
      </w:r>
    </w:p>
    <w:p>
      <w:pPr>
        <w:pStyle w:val="ListParagraph"/>
        <w:keepNext w:val="false"/>
        <w:numPr>
          <w:ilvl w:val="0"/>
          <w:numId w:val="1"/>
        </w:numPr>
        <w:spacing w:after="120" w:line="264"/>
      </w:pPr>
      <w:r>
        <w:rPr>
          <w:rFonts w:ascii="Calibri" w:cs="Calibri" w:eastAsia="Calibri" w:hAnsi="Calibri"/>
          <w:sz w:val="22"/>
          <w:szCs w:val="22"/>
        </w:rPr>
        <w:t xml:space="preserve">Schedule and document the stated probationary feedback checkpoints early enough to give meaningful notice and complete any final assessment before the lawful period ends.</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2026-08-31 onward, subject to the recorded review cycle | Independent Philippine lawyer review pending | Last legal check 2026-10-01 | Next review due 2026-11-01</w:t>
      </w:r>
    </w:p>
    <w:p>
      <w:pPr>
        <w:keepNext/>
        <w:spacing w:after="60" w:before="100"/>
      </w:pPr>
      <w:r>
        <w:rPr>
          <w:rFonts w:ascii="Calibri" w:cs="Calibri" w:eastAsia="Calibri" w:hAnsi="Calibri"/>
          <w:b/>
          <w:bCs/>
          <w:sz w:val="18"/>
          <w:szCs w:val="18"/>
        </w:rPr>
        <w:t xml:space="preserve">Labor Code of the Philippines (Presidential Decree No. 442), as amended and renumbered — DOLE 2022 edition - Article 296 [281] on probationary employment; Article 83 on normal hours; Article 300 [285] on resignation; mandatory labor standards and employment termination provisions (checked 2026-10-01)</w:t>
      </w:r>
    </w:p>
    <w:p>
      <w:pPr>
        <w:spacing w:after="120"/>
      </w:pPr>
      <w:hyperlink w:history="1" r:id="rId-jxqr1dqe3ru0fnczyck2">
        <w:r>
          <w:rPr>
            <w:rFonts w:ascii="Calibri" w:cs="Calibri" w:eastAsia="Calibri" w:hAnsi="Calibri"/>
            <w:color w:val="315B75"/>
            <w:sz w:val="17"/>
            <w:szCs w:val="17"/>
            <w:u w:val="single"/>
          </w:rPr>
          <w:t xml:space="preserve">https://web.archive.org/web/20220402205705/https://bwc.dole.gov.ph/images/Downloads/2022_02_02_LaborCode_ofthe_Philippines_2022DOLE_edition.pdf</w:t>
        </w:r>
      </w:hyperlink>
    </w:p>
    <w:p>
      <w:pPr>
        <w:keepNext/>
        <w:spacing w:after="60" w:before="100"/>
      </w:pPr>
      <w:r>
        <w:rPr>
          <w:rFonts w:ascii="Calibri" w:cs="Calibri" w:eastAsia="Calibri" w:hAnsi="Calibri"/>
          <w:b/>
          <w:bCs/>
          <w:sz w:val="18"/>
          <w:szCs w:val="18"/>
        </w:rPr>
        <w:t xml:space="preserve">Abbott Laboratories, Philippines v. Alcaraz, G.R. No. 192571 (July 23, 2013) - Probationary status, duration, and communication of reasonable regularization standards at engagement (checked 2026-10-01)</w:t>
      </w:r>
    </w:p>
    <w:p>
      <w:pPr>
        <w:spacing w:after="120"/>
      </w:pPr>
      <w:hyperlink w:history="1" r:id="rIdxtn8ifitrgn7yjxfgvdyj">
        <w:r>
          <w:rPr>
            <w:rFonts w:ascii="Calibri" w:cs="Calibri" w:eastAsia="Calibri" w:hAnsi="Calibri"/>
            <w:color w:val="315B75"/>
            <w:sz w:val="17"/>
            <w:szCs w:val="17"/>
            <w:u w:val="single"/>
          </w:rPr>
          <w:t xml:space="preserve">https://lawphil.net/judjuris/juri2013/jul2013/gr_192571_2013.html</w:t>
        </w:r>
      </w:hyperlink>
    </w:p>
    <w:p>
      <w:pPr>
        <w:keepNext/>
        <w:spacing w:after="60" w:before="100"/>
      </w:pPr>
      <w:r>
        <w:rPr>
          <w:rFonts w:ascii="Calibri" w:cs="Calibri" w:eastAsia="Calibri" w:hAnsi="Calibri"/>
          <w:b/>
          <w:bCs/>
          <w:sz w:val="18"/>
          <w:szCs w:val="18"/>
        </w:rPr>
        <w:t xml:space="preserve">Mitsubishi Motors Philippines Corp. v. Chrysler Philippines Labor Union, G.R. No. 148738 (June 29, 2004) - Six months of probation is 180 days, counted by excluding the first day (Civil Code Art. 13) (checked 2026-10-01)</w:t>
      </w:r>
    </w:p>
    <w:p>
      <w:pPr>
        <w:spacing w:after="120"/>
      </w:pPr>
      <w:hyperlink w:history="1" r:id="rIdx9cmk2wz-osotbb96u-3r">
        <w:r>
          <w:rPr>
            <w:rFonts w:ascii="Calibri" w:cs="Calibri" w:eastAsia="Calibri" w:hAnsi="Calibri"/>
            <w:color w:val="315B75"/>
            <w:sz w:val="17"/>
            <w:szCs w:val="17"/>
            <w:u w:val="single"/>
          </w:rPr>
          <w:t xml:space="preserve">https://lawphil.net/judjuris/juri2004/jun2004/gr_148738_2004.html</w:t>
        </w:r>
      </w:hyperlink>
    </w:p>
    <w:p>
      <w:pPr>
        <w:keepNext/>
        <w:spacing w:after="60" w:before="100"/>
      </w:pPr>
      <w:r>
        <w:rPr>
          <w:rFonts w:ascii="Calibri" w:cs="Calibri" w:eastAsia="Calibri" w:hAnsi="Calibri"/>
          <w:b/>
          <w:bCs/>
          <w:sz w:val="18"/>
          <w:szCs w:val="18"/>
        </w:rPr>
        <w:t xml:space="preserve">Philippine HIV and AIDS Policy Act (Republic Act No. 11166) - Sec. 3(g): HIV testing as a prerequisite for employment is compulsory testing; Secs. 29–30: written consent and the only allowed compulsory tests; Sec. 49(a): no rejection of a job application on the basis of HIV status (checked 2026-10-01)</w:t>
      </w:r>
    </w:p>
    <w:p>
      <w:pPr>
        <w:spacing w:after="120"/>
      </w:pPr>
      <w:hyperlink w:history="1" r:id="rIdysgaekkcx34l734yclce2">
        <w:r>
          <w:rPr>
            <w:rFonts w:ascii="Calibri" w:cs="Calibri" w:eastAsia="Calibri" w:hAnsi="Calibri"/>
            <w:color w:val="315B75"/>
            <w:sz w:val="17"/>
            <w:szCs w:val="17"/>
            <w:u w:val="single"/>
          </w:rPr>
          <w:t xml:space="preserve">https://lawphil.net/statutes/repacts/ra2018/ra_11166_2018.html</w:t>
        </w:r>
      </w:hyperlink>
    </w:p>
    <w:p>
      <w:pPr>
        <w:keepNext/>
        <w:spacing w:after="60" w:before="100"/>
      </w:pPr>
      <w:r>
        <w:rPr>
          <w:rFonts w:ascii="Calibri" w:cs="Calibri" w:eastAsia="Calibri" w:hAnsi="Calibri"/>
          <w:b/>
          <w:bCs/>
          <w:sz w:val="18"/>
          <w:szCs w:val="18"/>
        </w:rPr>
        <w:t xml:space="preserve">Workers' Statutory Monetary Benefits Handbook - Official guidance on minimum labor standards and statutory monetary benefits (checked 2026-08-31)</w:t>
      </w:r>
    </w:p>
    <w:p>
      <w:pPr>
        <w:spacing w:after="120"/>
      </w:pPr>
      <w:hyperlink w:history="1" r:id="rIdioouc4aqvu0kmej9o4syx">
        <w:r>
          <w:rPr>
            <w:rFonts w:ascii="Calibri" w:cs="Calibri" w:eastAsia="Calibri" w:hAnsi="Calibri"/>
            <w:color w:val="315B75"/>
            <w:sz w:val="17"/>
            <w:szCs w:val="17"/>
            <w:u w:val="single"/>
          </w:rPr>
          <w:t xml:space="preserve">https://bwc.dole.gov.ph/workers-statutory-monetary-benefits/</w:t>
        </w:r>
      </w:hyperlink>
    </w:p>
    <w:p>
      <w:pPr>
        <w:keepNext/>
        <w:spacing w:after="60" w:before="100"/>
      </w:pPr>
      <w:r>
        <w:rPr>
          <w:rFonts w:ascii="Calibri" w:cs="Calibri" w:eastAsia="Calibri" w:hAnsi="Calibri"/>
          <w:b/>
          <w:bCs/>
          <w:sz w:val="18"/>
          <w:szCs w:val="18"/>
        </w:rPr>
        <w:t xml:space="preserve">Current Regional Minimum Wage Rates and Wage Orders - Region-, sector-, establishment-, and effectivity-specific wage-order verification (checked 2026-08-31)</w:t>
      </w:r>
    </w:p>
    <w:p>
      <w:pPr>
        <w:spacing w:after="120"/>
      </w:pPr>
      <w:hyperlink w:history="1" r:id="rIddmjewahjxt_4e8qdksdph">
        <w:r>
          <w:rPr>
            <w:rFonts w:ascii="Calibri" w:cs="Calibri" w:eastAsia="Calibri" w:hAnsi="Calibri"/>
            <w:color w:val="315B75"/>
            <w:sz w:val="17"/>
            <w:szCs w:val="17"/>
            <w:u w:val="single"/>
          </w:rPr>
          <w:t xml:space="preserve">https://nwpc.dole.gov.ph/</w:t>
        </w:r>
      </w:hyperlink>
    </w:p>
    <w:p>
      <w:pPr>
        <w:keepNext/>
        <w:spacing w:after="60" w:before="100"/>
      </w:pPr>
      <w:r>
        <w:rPr>
          <w:rFonts w:ascii="Calibri" w:cs="Calibri" w:eastAsia="Calibri" w:hAnsi="Calibri"/>
          <w:b/>
          <w:bCs/>
          <w:sz w:val="18"/>
          <w:szCs w:val="18"/>
        </w:rPr>
        <w:t xml:space="preserve">Presidential Decree No. 851 and implementing rules - 13th-month pay (checked 2026-08-31)</w:t>
      </w:r>
    </w:p>
    <w:p>
      <w:pPr>
        <w:spacing w:after="120"/>
      </w:pPr>
      <w:hyperlink w:history="1" r:id="rIdrdhxhtrsinwg0oup0tfuy">
        <w:r>
          <w:rPr>
            <w:rFonts w:ascii="Calibri" w:cs="Calibri" w:eastAsia="Calibri" w:hAnsi="Calibri"/>
            <w:color w:val="315B75"/>
            <w:sz w:val="17"/>
            <w:szCs w:val="17"/>
            <w:u w:val="single"/>
          </w:rPr>
          <w:t xml:space="preserve">https://lawphil.net/statutes/presdecs/pd1975/pd_851_1975.html</w:t>
        </w:r>
      </w:hyperlink>
    </w:p>
    <w:p>
      <w:pPr>
        <w:keepNext/>
        <w:spacing w:after="60" w:before="100"/>
      </w:pPr>
      <w:r>
        <w:rPr>
          <w:rFonts w:ascii="Calibri" w:cs="Calibri" w:eastAsia="Calibri" w:hAnsi="Calibri"/>
          <w:b/>
          <w:bCs/>
          <w:sz w:val="18"/>
          <w:szCs w:val="18"/>
        </w:rPr>
        <w:t xml:space="preserve">Occupational Safety and Health Standards Law (Republic Act No. 11058) - Workplace safety duties and worker rights (checked 2026-08-31)</w:t>
      </w:r>
    </w:p>
    <w:p>
      <w:pPr>
        <w:spacing w:after="120"/>
      </w:pPr>
      <w:hyperlink w:history="1" r:id="rIdjk2lwkmwqthjyi2mktfli">
        <w:r>
          <w:rPr>
            <w:rFonts w:ascii="Calibri" w:cs="Calibri" w:eastAsia="Calibri" w:hAnsi="Calibri"/>
            <w:color w:val="315B75"/>
            <w:sz w:val="17"/>
            <w:szCs w:val="17"/>
            <w:u w:val="single"/>
          </w:rPr>
          <w:t xml:space="preserve">https://lawphil.net/statutes/repacts/ra2018/ra_11058_2018.html</w:t>
        </w:r>
      </w:hyperlink>
    </w:p>
    <w:p>
      <w:pPr>
        <w:keepNext/>
        <w:spacing w:after="60" w:before="100"/>
      </w:pPr>
      <w:r>
        <w:rPr>
          <w:rFonts w:ascii="Calibri" w:cs="Calibri" w:eastAsia="Calibri" w:hAnsi="Calibri"/>
          <w:b/>
          <w:bCs/>
          <w:sz w:val="18"/>
          <w:szCs w:val="18"/>
        </w:rPr>
        <w:t xml:space="preserve">Telecommuting Act (Republic Act No. 11165) - Private-sector telecommuting and fair-treatment requirements (checked 2026-08-31)</w:t>
      </w:r>
    </w:p>
    <w:p>
      <w:pPr>
        <w:spacing w:after="120"/>
      </w:pPr>
      <w:hyperlink w:history="1" r:id="rId0xcwdq7ms_l5jbkojp63y">
        <w:r>
          <w:rPr>
            <w:rFonts w:ascii="Calibri" w:cs="Calibri" w:eastAsia="Calibri" w:hAnsi="Calibri"/>
            <w:color w:val="315B75"/>
            <w:sz w:val="17"/>
            <w:szCs w:val="17"/>
            <w:u w:val="single"/>
          </w:rPr>
          <w:t xml:space="preserve">https://lawphil.net/statutes/repacts/ra2018/pdf/ra_11165_2018.pdf</w:t>
        </w:r>
      </w:hyperlink>
    </w:p>
    <w:p>
      <w:pPr>
        <w:keepNext/>
        <w:spacing w:after="60" w:before="100"/>
      </w:pPr>
      <w:r>
        <w:rPr>
          <w:rFonts w:ascii="Calibri" w:cs="Calibri" w:eastAsia="Calibri" w:hAnsi="Calibri"/>
          <w:b/>
          <w:bCs/>
          <w:sz w:val="18"/>
          <w:szCs w:val="18"/>
        </w:rPr>
        <w:t xml:space="preserve">Data Privacy Act of 2012 (Republic Act No. 10173) - Lawful, transparent, proportionate recruitment and employee-data processing (checked 2026-08-31)</w:t>
      </w:r>
    </w:p>
    <w:p>
      <w:pPr>
        <w:spacing w:after="120"/>
      </w:pPr>
      <w:hyperlink w:history="1" r:id="rId_6qlztdiea-58-tdjbirh">
        <w:r>
          <w:rPr>
            <w:rFonts w:ascii="Calibri" w:cs="Calibri" w:eastAsia="Calibri" w:hAnsi="Calibri"/>
            <w:color w:val="315B75"/>
            <w:sz w:val="17"/>
            <w:szCs w:val="17"/>
            <w:u w:val="single"/>
          </w:rPr>
          <w:t xml:space="preserve">https://privacy.gov.ph/data-privacy-act/</w:t>
        </w:r>
      </w:hyperlink>
    </w:p>
    <w:p>
      <w:pPr>
        <w:keepNext/>
        <w:spacing w:after="60" w:before="100"/>
      </w:pPr>
      <w:r>
        <w:rPr>
          <w:rFonts w:ascii="Calibri" w:cs="Calibri" w:eastAsia="Calibri" w:hAnsi="Calibri"/>
          <w:b/>
          <w:bCs/>
          <w:sz w:val="18"/>
          <w:szCs w:val="18"/>
        </w:rPr>
        <w:t xml:space="preserve">Intellectual Property Code (Republic Act No. 8293), as amended - Employee-created works and inventions; moral rights; written assignments where applicable (checked 2026-08-31)</w:t>
      </w:r>
    </w:p>
    <w:p>
      <w:pPr>
        <w:spacing w:after="120"/>
      </w:pPr>
      <w:hyperlink w:history="1" r:id="rIdqpjrqmdb79tah5ih1cgpy">
        <w:r>
          <w:rPr>
            <w:rFonts w:ascii="Calibri" w:cs="Calibri" w:eastAsia="Calibri" w:hAnsi="Calibri"/>
            <w:color w:val="315B75"/>
            <w:sz w:val="17"/>
            <w:szCs w:val="17"/>
            <w:u w:val="single"/>
          </w:rPr>
          <w:t xml:space="preserve">https://lawphil.net/statutes/repacts/ra1997/ra_8293_1997.html</w:t>
        </w:r>
      </w:hyperlink>
    </w:p>
    <w:p>
      <w:pPr>
        <w:keepNext/>
        <w:spacing w:after="60" w:before="100"/>
      </w:pPr>
      <w:r>
        <w:rPr>
          <w:rFonts w:ascii="Calibri" w:cs="Calibri" w:eastAsia="Calibri" w:hAnsi="Calibri"/>
          <w:b/>
          <w:bCs/>
          <w:sz w:val="18"/>
          <w:szCs w:val="18"/>
        </w:rPr>
        <w:t xml:space="preserve">Electronic Commerce Act of 2000 (Republic Act No. 8792) - Sections 6–8 on electronic documents and signatures (checked 2026-08-31)</w:t>
      </w:r>
    </w:p>
    <w:p>
      <w:pPr>
        <w:spacing w:after="120"/>
      </w:pPr>
      <w:hyperlink w:history="1" r:id="rIdsbk6nqdm71badjrhhhnxl">
        <w:r>
          <w:rPr>
            <w:rFonts w:ascii="Calibri" w:cs="Calibri" w:eastAsia="Calibri" w:hAnsi="Calibri"/>
            <w:color w:val="315B75"/>
            <w:sz w:val="17"/>
            <w:szCs w:val="17"/>
            <w:u w:val="single"/>
          </w:rPr>
          <w:t xml:space="preserve">https://lawphil.net/statutes/repacts/ra2000/ra_8792_2000.html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qr1dqe3ru0fnczyck2" Type="http://schemas.openxmlformats.org/officeDocument/2006/relationships/hyperlink" Target="https://web.archive.org/web/20220402205705/https://bwc.dole.gov.ph/images/Downloads/2022_02_02_LaborCode_ofthe_Philippines_2022DOLE_edition.pdf" TargetMode="External"/><Relationship Id="rIdxtn8ifitrgn7yjxfgvdyj" Type="http://schemas.openxmlformats.org/officeDocument/2006/relationships/hyperlink" Target="https://lawphil.net/judjuris/juri2013/jul2013/gr_192571_2013.html" TargetMode="External"/><Relationship Id="rIdx9cmk2wz-osotbb96u-3r" Type="http://schemas.openxmlformats.org/officeDocument/2006/relationships/hyperlink" Target="https://lawphil.net/judjuris/juri2004/jun2004/gr_148738_2004.html" TargetMode="External"/><Relationship Id="rIdysgaekkcx34l734yclce2" Type="http://schemas.openxmlformats.org/officeDocument/2006/relationships/hyperlink" Target="https://lawphil.net/statutes/repacts/ra2018/ra_11166_2018.html" TargetMode="External"/><Relationship Id="rIdioouc4aqvu0kmej9o4syx" Type="http://schemas.openxmlformats.org/officeDocument/2006/relationships/hyperlink" Target="https://bwc.dole.gov.ph/workers-statutory-monetary-benefits/" TargetMode="External"/><Relationship Id="rIddmjewahjxt_4e8qdksdph" Type="http://schemas.openxmlformats.org/officeDocument/2006/relationships/hyperlink" Target="https://nwpc.dole.gov.ph/" TargetMode="External"/><Relationship Id="rIdrdhxhtrsinwg0oup0tfuy" Type="http://schemas.openxmlformats.org/officeDocument/2006/relationships/hyperlink" Target="https://lawphil.net/statutes/presdecs/pd1975/pd_851_1975.html" TargetMode="External"/><Relationship Id="rIdjk2lwkmwqthjyi2mktfli" Type="http://schemas.openxmlformats.org/officeDocument/2006/relationships/hyperlink" Target="https://lawphil.net/statutes/repacts/ra2018/ra_11058_2018.html" TargetMode="External"/><Relationship Id="rId0xcwdq7ms_l5jbkojp63y" Type="http://schemas.openxmlformats.org/officeDocument/2006/relationships/hyperlink" Target="https://lawphil.net/statutes/repacts/ra2018/pdf/ra_11165_2018.pdf" TargetMode="External"/><Relationship Id="rId_6qlztdiea-58-tdjbirh" Type="http://schemas.openxmlformats.org/officeDocument/2006/relationships/hyperlink" Target="https://privacy.gov.ph/data-privacy-act/" TargetMode="External"/><Relationship Id="rIdqpjrqmdb79tah5ih1cgpy" Type="http://schemas.openxmlformats.org/officeDocument/2006/relationships/hyperlink" Target="https://lawphil.net/statutes/repacts/ra1997/ra_8293_1997.html" TargetMode="External"/><Relationship Id="rIdsbk6nqdm71badjrhhhnxl" Type="http://schemas.openxmlformats.org/officeDocument/2006/relationships/hyperlink" Target="https://lawphil.net/statutes/repacts/ra2000/ra_8792_2000.html"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Offer and Probationary Employment Agreement</dc:title>
  <dc:creator>LAW.PH</dc:creator>
  <dc:description>Free sample of the Job Offer and Probationary Employment Agreement from LAW.PH, with fictional details</dc:description>
  <cp:lastModifiedBy>Un-named</cp:lastModifiedBy>
  <cp:revision>1</cp:revision>
  <dcterms:created xsi:type="dcterms:W3CDTF">2026-10-02T05:29:58.699Z</dcterms:created>
  <dcterms:modified xsi:type="dcterms:W3CDTF">2026-10-02T05:29:58.699Z</dcterms:modified>
</cp:coreProperties>
</file>

<file path=docProps/custom.xml><?xml version="1.0" encoding="utf-8"?>
<Properties xmlns="http://schemas.openxmlformats.org/officeDocument/2006/custom-properties" xmlns:vt="http://schemas.openxmlformats.org/officeDocument/2006/docPropsVTypes"/>
</file>