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INTELLECTUAL PROPERTY LICENSE AGREEMENT</w:t>
      </w:r>
    </w:p>
    <w:p>
      <w:pPr>
        <w:spacing w:after="160"/>
        <w:jc w:val="center"/>
      </w:pPr>
      <w:r>
        <w:rPr>
          <w:rFonts w:ascii="Calibri" w:cs="Calibri" w:eastAsia="Calibri" w:hAnsi="Calibri"/>
          <w:color w:val="566674"/>
          <w:sz w:val="18"/>
          <w:szCs w:val="18"/>
        </w:rPr>
        <w:t xml:space="preserve">Republic of the Philippines — License of intellectual property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intellectual-property lawyer review pending</w:t>
      </w:r>
    </w:p>
    <w:p>
      <w:pPr>
        <w:keepLines/>
        <w:spacing w:after="120" w:line="264"/>
        <w:jc w:val="both"/>
      </w:pPr>
      <w:r>
        <w:rPr>
          <w:rFonts w:ascii="Calibri" w:cs="Calibri" w:eastAsia="Calibri" w:hAnsi="Calibri"/>
          <w:sz w:val="22"/>
          <w:szCs w:val="22"/>
        </w:rPr>
        <w:t xml:space="preserve">This Intellectual Property License Agreement (the "Agreement") is made on October 20, 2026 between Kalikasan Creative Studio, Inc., with address at 9/F Cebu IT Park, Lahug, Cebu City 6000 (the "Licensor"), and Mabuhay Retail Holdings, Inc., with address at 3 Ortigas Center, Pasig City 1605 (the "Licensee").</w:t>
      </w:r>
    </w:p>
    <w:p>
      <w:pPr>
        <w:pStyle w:val="Heading2"/>
        <w:keepNext/>
        <w:spacing w:after="120" w:before="240"/>
      </w:pPr>
      <w:r>
        <w:rPr>
          <w:rFonts w:ascii="Calibri" w:cs="Calibri" w:eastAsia="Calibri" w:hAnsi="Calibri"/>
          <w:b/>
          <w:bCs/>
          <w:color w:val="102B3F"/>
          <w:sz w:val="26"/>
          <w:szCs w:val="26"/>
        </w:rPr>
        <w:t xml:space="preserve">1. Grant of license</w:t>
      </w:r>
    </w:p>
    <w:p>
      <w:pPr>
        <w:keepLines/>
        <w:spacing w:after="120" w:line="264"/>
        <w:jc w:val="both"/>
      </w:pPr>
      <w:r>
        <w:rPr>
          <w:rFonts w:ascii="Calibri" w:cs="Calibri" w:eastAsia="Calibri" w:hAnsi="Calibri"/>
          <w:sz w:val="22"/>
          <w:szCs w:val="22"/>
        </w:rPr>
        <w:t xml:space="preserve">The Licensor grants the Licensee a license, for the term stated below, to use the following rights (the "Licensed Rights"), which are trademarks and service marks, copyright works, including software and trade secrets and know-how: The mark SAMPAGUITA QUEST, IPOPHL Trademark Registration No. 4-2024-012345 in Classes 9 and 28, the artwork and characters of the game 'Sampaguita Quest', and the related know-how for producing licensed merchandise.</w:t>
      </w:r>
    </w:p>
    <w:p>
      <w:pPr>
        <w:keepLines/>
        <w:spacing w:after="120" w:line="264"/>
        <w:jc w:val="both"/>
      </w:pPr>
      <w:r>
        <w:rPr>
          <w:rFonts w:ascii="Calibri" w:cs="Calibri" w:eastAsia="Calibri" w:hAnsi="Calibri"/>
          <w:sz w:val="22"/>
          <w:szCs w:val="22"/>
        </w:rPr>
        <w:t xml:space="preserve">The Licensee may use the Licensed Rights only in this field: Manufacture, promotion, and sale of plush toys, apparel, and stationery that carry the licensed characters and marks. The territory is the Philippines. The territory is where the Licensee may exercise the Licensed Rights. Nothing in this Agreement prohibits the Licensee from exporting licensed products it makes in the territory (Intellectual Property Code, Section 87).</w:t>
      </w:r>
    </w:p>
    <w:p>
      <w:pPr>
        <w:keepLines/>
        <w:spacing w:after="120" w:line="264"/>
        <w:jc w:val="both"/>
      </w:pPr>
      <w:r>
        <w:rPr>
          <w:rFonts w:ascii="Calibri" w:cs="Calibri" w:eastAsia="Calibri" w:hAnsi="Calibri"/>
          <w:sz w:val="22"/>
          <w:szCs w:val="22"/>
        </w:rPr>
        <w:t xml:space="preserve">The license is exclusive. Only the Licensee may use the licensed rights in the territory, even to the exclusion of the Licensor, and the Licensor shall not license anyone else there.</w:t>
      </w:r>
    </w:p>
    <w:p>
      <w:pPr>
        <w:keepLines/>
        <w:spacing w:after="120" w:line="264"/>
        <w:jc w:val="both"/>
      </w:pPr>
      <w:r>
        <w:rPr>
          <w:rFonts w:ascii="Calibri" w:cs="Calibri" w:eastAsia="Calibri" w:hAnsi="Calibri"/>
          <w:sz w:val="22"/>
          <w:szCs w:val="22"/>
        </w:rPr>
        <w:t xml:space="preserve">The Licensee may sublicense the licensed rights only with the Licensor's prior written consent, and remains responsible for each sublicensee.</w:t>
      </w:r>
    </w:p>
    <w:p>
      <w:pPr>
        <w:keepLines/>
        <w:spacing w:after="120" w:line="264"/>
        <w:jc w:val="both"/>
      </w:pPr>
      <w:r>
        <w:rPr>
          <w:rFonts w:ascii="Calibri" w:cs="Calibri" w:eastAsia="Calibri" w:hAnsi="Calibri"/>
          <w:sz w:val="22"/>
          <w:szCs w:val="22"/>
        </w:rPr>
        <w:t xml:space="preserve">The Licensor keeps ownership of the Licensed Rights, and the Licensee acquires no ownership by using them. The Licensor reserves every right that this Agreement does not expressly grant.</w:t>
      </w:r>
    </w:p>
    <w:p>
      <w:pPr>
        <w:pStyle w:val="Heading2"/>
        <w:keepNext/>
        <w:spacing w:after="120" w:before="240"/>
      </w:pPr>
      <w:r>
        <w:rPr>
          <w:rFonts w:ascii="Calibri" w:cs="Calibri" w:eastAsia="Calibri" w:hAnsi="Calibri"/>
          <w:b/>
          <w:bCs/>
          <w:color w:val="102B3F"/>
          <w:sz w:val="26"/>
          <w:szCs w:val="26"/>
        </w:rPr>
        <w:t xml:space="preserve">2. Term</w:t>
      </w:r>
    </w:p>
    <w:p>
      <w:pPr>
        <w:keepLines/>
        <w:spacing w:after="120" w:line="264"/>
        <w:jc w:val="both"/>
      </w:pPr>
      <w:r>
        <w:rPr>
          <w:rFonts w:ascii="Calibri" w:cs="Calibri" w:eastAsia="Calibri" w:hAnsi="Calibri"/>
          <w:sz w:val="22"/>
          <w:szCs w:val="22"/>
        </w:rPr>
        <w:t xml:space="preserve">The license starts on November 1, 2026 and runs for 3 years. The license may be renewed only by a written agreement that both parties sign.</w:t>
      </w:r>
    </w:p>
    <w:p>
      <w:pPr>
        <w:pStyle w:val="Heading2"/>
        <w:keepNext/>
        <w:spacing w:after="120" w:before="240"/>
      </w:pPr>
      <w:r>
        <w:rPr>
          <w:rFonts w:ascii="Calibri" w:cs="Calibri" w:eastAsia="Calibri" w:hAnsi="Calibri"/>
          <w:b/>
          <w:bCs/>
          <w:color w:val="102B3F"/>
          <w:sz w:val="26"/>
          <w:szCs w:val="26"/>
        </w:rPr>
        <w:t xml:space="preserve">3. Fees and payment</w:t>
      </w:r>
    </w:p>
    <w:p>
      <w:pPr>
        <w:keepLines/>
        <w:spacing w:after="120" w:line="264"/>
        <w:jc w:val="both"/>
      </w:pPr>
      <w:r>
        <w:rPr>
          <w:rFonts w:ascii="Calibri" w:cs="Calibri" w:eastAsia="Calibri" w:hAnsi="Calibri"/>
          <w:sz w:val="22"/>
          <w:szCs w:val="22"/>
        </w:rPr>
        <w:t xml:space="preserve">The Licensee shall pay the Licensor a fixed fee of Two Hundred Fifty Thousand Pesos (PHP 250,000.00), due on signing.</w:t>
      </w:r>
    </w:p>
    <w:p>
      <w:pPr>
        <w:keepLines/>
        <w:spacing w:after="120" w:line="264"/>
        <w:jc w:val="both"/>
      </w:pPr>
      <w:r>
        <w:rPr>
          <w:rFonts w:ascii="Calibri" w:cs="Calibri" w:eastAsia="Calibri" w:hAnsi="Calibri"/>
          <w:sz w:val="22"/>
          <w:szCs w:val="22"/>
        </w:rPr>
        <w:t xml:space="preserve">The Licensee shall pay the Licensor a royalty of 7.5% of the Net Sales of products or services that use the Licensed Rights, with a minimum of Two Hundred Thousand Pesos (PHP 200,000.00) for each license year.</w:t>
      </w:r>
    </w:p>
    <w:p>
      <w:pPr>
        <w:keepLines/>
        <w:spacing w:after="120" w:line="264"/>
        <w:jc w:val="both"/>
      </w:pPr>
      <w:r>
        <w:rPr>
          <w:rFonts w:ascii="Calibri" w:cs="Calibri" w:eastAsia="Calibri" w:hAnsi="Calibri"/>
          <w:sz w:val="22"/>
          <w:szCs w:val="22"/>
        </w:rPr>
        <w:t xml:space="preserve">"Net Sales" means the gross amounts invoiced by the Licensee and any sublicensee for products and services that use the Licensed Rights, less only (a) value-added tax and other sales taxes shown on the invoice, (b) returns actually credited to customers, and (c) trade discounts shown on the invoice. No other deduction is allowed. Royalties are computed in Philippine pesos.</w:t>
      </w:r>
    </w:p>
    <w:p>
      <w:pPr>
        <w:keepLines/>
        <w:spacing w:after="120" w:line="264"/>
        <w:jc w:val="both"/>
      </w:pPr>
      <w:r>
        <w:rPr>
          <w:rFonts w:ascii="Calibri" w:cs="Calibri" w:eastAsia="Calibri" w:hAnsi="Calibri"/>
          <w:sz w:val="22"/>
          <w:szCs w:val="22"/>
        </w:rPr>
        <w:t xml:space="preserve">The Licensee shall send a royalty report each quarter, within 30 days after the end of the period, showing the gross amounts invoiced, each deduction, and the Net Sales, with payment of the royalty due. If the royalties paid for a license year are less than the minimum, the Licensee shall pay the difference within 30 days after the end of that license year.</w:t>
      </w:r>
    </w:p>
    <w:p>
      <w:pPr>
        <w:keepLines/>
        <w:spacing w:after="120" w:line="264"/>
        <w:jc w:val="both"/>
      </w:pPr>
      <w:r>
        <w:rPr>
          <w:rFonts w:ascii="Calibri" w:cs="Calibri" w:eastAsia="Calibri" w:hAnsi="Calibri"/>
          <w:sz w:val="22"/>
          <w:szCs w:val="22"/>
        </w:rPr>
        <w:t xml:space="preserve">The Licensee shall keep complete and accurate records of its Net Sales for at least three years after the end of the period they cover.</w:t>
      </w:r>
    </w:p>
    <w:p>
      <w:pPr>
        <w:keepLines/>
        <w:spacing w:after="120" w:line="264"/>
        <w:jc w:val="both"/>
      </w:pPr>
      <w:r>
        <w:rPr>
          <w:rFonts w:ascii="Calibri" w:cs="Calibri" w:eastAsia="Calibri" w:hAnsi="Calibri"/>
          <w:sz w:val="22"/>
          <w:szCs w:val="22"/>
        </w:rPr>
        <w:t xml:space="preserve">The Licensor may, on reasonable notice and not more than once a year, have an independent accountant inspect the Licensee's sales records to check the reports. The Licensor bears the cost unless the inspection shows an underpayment of more than five percent, in which case the Licensee bears it.</w:t>
      </w:r>
    </w:p>
    <w:p>
      <w:pPr>
        <w:keepLines/>
        <w:spacing w:after="120" w:line="264"/>
        <w:jc w:val="both"/>
      </w:pPr>
      <w:r>
        <w:rPr>
          <w:rFonts w:ascii="Calibri" w:cs="Calibri" w:eastAsia="Calibri" w:hAnsi="Calibri"/>
          <w:sz w:val="22"/>
          <w:szCs w:val="22"/>
        </w:rPr>
        <w:t xml:space="preserve">A late payment bears interest at 6% per year from the due date until paid. This is not an authority for an unconscionable rate, and a court may reduce an iniquitous interest or penalty (Article 1229).</w:t>
      </w:r>
    </w:p>
    <w:p>
      <w:pPr>
        <w:keepLines/>
        <w:spacing w:after="120" w:line="264"/>
        <w:jc w:val="both"/>
      </w:pPr>
      <w:r>
        <w:rPr>
          <w:rFonts w:ascii="Calibri" w:cs="Calibri" w:eastAsia="Calibri" w:hAnsi="Calibri"/>
          <w:sz w:val="22"/>
          <w:szCs w:val="22"/>
        </w:rPr>
        <w:t xml:space="preserve">As Section 88 of the Intellectual Property Code requires for technology transfer arrangements, the Philippine taxes on all payments relating to this Agreement are borne by the Licensor. The Licensee may withhold and remit tax as the law requires and shall give the Licensor the withholding certificate.</w:t>
      </w:r>
    </w:p>
    <w:p>
      <w:pPr>
        <w:pStyle w:val="Heading2"/>
        <w:keepNext/>
        <w:spacing w:after="120" w:before="240"/>
      </w:pPr>
      <w:r>
        <w:rPr>
          <w:rFonts w:ascii="Calibri" w:cs="Calibri" w:eastAsia="Calibri" w:hAnsi="Calibri"/>
          <w:b/>
          <w:bCs/>
          <w:color w:val="102B3F"/>
          <w:sz w:val="26"/>
          <w:szCs w:val="26"/>
        </w:rPr>
        <w:t xml:space="preserve">4. Quality control over the licensed marks</w:t>
      </w:r>
    </w:p>
    <w:p>
      <w:pPr>
        <w:keepLines/>
        <w:spacing w:after="120" w:line="264"/>
        <w:jc w:val="both"/>
      </w:pPr>
      <w:r>
        <w:rPr>
          <w:rFonts w:ascii="Calibri" w:cs="Calibri" w:eastAsia="Calibri" w:hAnsi="Calibri"/>
          <w:sz w:val="22"/>
          <w:szCs w:val="22"/>
        </w:rPr>
        <w:t xml:space="preserve">The Licensor shall exercise effective control over the quality of the goods and services that the Licensee sells under the licensed marks, as the law requires for a valid trademark license (Section 150 of the Intellectual Property Code). The Licensee shall produce the licensed goods to the Licensor's written brand and quality standards, submit a pre-production sample and a final sample of each product for the Licensor's approval before sale, and allow the Licensor to inspect its facilities and products on reasonable notice.</w:t>
      </w:r>
    </w:p>
    <w:p>
      <w:pPr>
        <w:keepLines/>
        <w:spacing w:after="120" w:line="264"/>
        <w:jc w:val="both"/>
      </w:pPr>
      <w:r>
        <w:rPr>
          <w:rFonts w:ascii="Calibri" w:cs="Calibri" w:eastAsia="Calibri" w:hAnsi="Calibri"/>
          <w:sz w:val="22"/>
          <w:szCs w:val="22"/>
        </w:rPr>
        <w:t xml:space="preserve">The Licensee shall use the marks only in the form the Licensor approves and shall give the Licensor samples on request. The Licensor may suspend use of a mark on a product that does not meet the standards until the defect is fixed.</w:t>
      </w:r>
    </w:p>
    <w:p>
      <w:pPr>
        <w:pStyle w:val="Heading2"/>
        <w:keepNext/>
        <w:spacing w:after="120" w:before="240"/>
      </w:pPr>
      <w:r>
        <w:rPr>
          <w:rFonts w:ascii="Calibri" w:cs="Calibri" w:eastAsia="Calibri" w:hAnsi="Calibri"/>
          <w:b/>
          <w:bCs/>
          <w:color w:val="102B3F"/>
          <w:sz w:val="26"/>
          <w:szCs w:val="26"/>
        </w:rPr>
        <w:t xml:space="preserve">5. Improvements and continued access</w:t>
      </w:r>
    </w:p>
    <w:p>
      <w:pPr>
        <w:keepLines/>
        <w:spacing w:after="120" w:line="264"/>
        <w:jc w:val="both"/>
      </w:pPr>
      <w:r>
        <w:rPr>
          <w:rFonts w:ascii="Calibri" w:cs="Calibri" w:eastAsia="Calibri" w:hAnsi="Calibri"/>
          <w:sz w:val="22"/>
          <w:szCs w:val="22"/>
        </w:rPr>
        <w:t xml:space="preserve">During the term, the Licensor shall give the Licensee continued access to improvements in the techniques and processes that relate to the licensed technology, as Section 88 of the Intellectual Property Code requires.</w:t>
      </w:r>
    </w:p>
    <w:p>
      <w:pPr>
        <w:keepLines/>
        <w:spacing w:after="120" w:line="264"/>
        <w:jc w:val="both"/>
      </w:pPr>
      <w:r>
        <w:rPr>
          <w:rFonts w:ascii="Calibri" w:cs="Calibri" w:eastAsia="Calibri" w:hAnsi="Calibri"/>
          <w:sz w:val="22"/>
          <w:szCs w:val="22"/>
        </w:rPr>
        <w:t xml:space="preserve">Improvements the Licensee makes belong to the Licensee, who offers the Licensor a non-exclusive license to use them on fair terms that the parties negotiate in good faith. The Licensee has no duty to transfer them to the Licensor for free (Section 87).</w:t>
      </w:r>
    </w:p>
    <w:p>
      <w:pPr>
        <w:pStyle w:val="Heading2"/>
        <w:keepNext/>
        <w:spacing w:after="120" w:before="240"/>
      </w:pPr>
      <w:r>
        <w:rPr>
          <w:rFonts w:ascii="Calibri" w:cs="Calibri" w:eastAsia="Calibri" w:hAnsi="Calibri"/>
          <w:b/>
          <w:bCs/>
          <w:color w:val="102B3F"/>
          <w:sz w:val="26"/>
          <w:szCs w:val="26"/>
        </w:rPr>
        <w:t xml:space="preserve">6. Ownership warranty and infringement</w:t>
      </w:r>
    </w:p>
    <w:p>
      <w:pPr>
        <w:keepLines/>
        <w:spacing w:after="120" w:line="264"/>
        <w:jc w:val="both"/>
      </w:pPr>
      <w:r>
        <w:rPr>
          <w:rFonts w:ascii="Calibri" w:cs="Calibri" w:eastAsia="Calibri" w:hAnsi="Calibri"/>
          <w:sz w:val="22"/>
          <w:szCs w:val="22"/>
        </w:rPr>
        <w:t xml:space="preserve">The Licensor states that it owns, or is entitled to license, the Licensed Rights, that it has told the Licensee of every lien, license, and claim over them, and that it knows of no claim that they are invalid or that using them as this Agreement permits infringes another's rights.</w:t>
      </w:r>
    </w:p>
    <w:p>
      <w:pPr>
        <w:keepLines/>
        <w:spacing w:after="120" w:line="264"/>
        <w:jc w:val="both"/>
      </w:pPr>
      <w:r>
        <w:rPr>
          <w:rFonts w:ascii="Calibri" w:cs="Calibri" w:eastAsia="Calibri" w:hAnsi="Calibri"/>
          <w:sz w:val="22"/>
          <w:szCs w:val="22"/>
        </w:rPr>
        <w:t xml:space="preserve">If a third party claims that the Licensed Rights infringe its rights, the Licensor shall defend the claim at its cost and indemnify the Licensee against loss the claim causes, and shall also act at its cost against a third party that infringes the Licensed Rights.</w:t>
      </w:r>
    </w:p>
    <w:p>
      <w:pPr>
        <w:keepLines/>
        <w:spacing w:after="120" w:line="264"/>
        <w:jc w:val="both"/>
      </w:pPr>
      <w:r>
        <w:rPr>
          <w:rFonts w:ascii="Calibri" w:cs="Calibri" w:eastAsia="Calibri" w:hAnsi="Calibri"/>
          <w:sz w:val="22"/>
          <w:szCs w:val="22"/>
        </w:rPr>
        <w:t xml:space="preserve">The Licensee shall tell the Licensor promptly of any suspected infringement or claim. Nothing in this Agreement exempts the Licensor from liability for failing to meet its own responsibilities.</w:t>
      </w:r>
    </w:p>
    <w:p>
      <w:pPr>
        <w:pStyle w:val="Heading2"/>
        <w:keepNext/>
        <w:spacing w:after="120" w:before="240"/>
      </w:pPr>
      <w:r>
        <w:rPr>
          <w:rFonts w:ascii="Calibri" w:cs="Calibri" w:eastAsia="Calibri" w:hAnsi="Calibri"/>
          <w:b/>
          <w:bCs/>
          <w:color w:val="102B3F"/>
          <w:sz w:val="26"/>
          <w:szCs w:val="26"/>
        </w:rPr>
        <w:t xml:space="preserve">7. Confidentiality of know-how</w:t>
      </w:r>
    </w:p>
    <w:p>
      <w:pPr>
        <w:keepLines/>
        <w:spacing w:after="120" w:line="264"/>
        <w:jc w:val="both"/>
      </w:pPr>
      <w:r>
        <w:rPr>
          <w:rFonts w:ascii="Calibri" w:cs="Calibri" w:eastAsia="Calibri" w:hAnsi="Calibri"/>
          <w:sz w:val="22"/>
          <w:szCs w:val="22"/>
        </w:rPr>
        <w:t xml:space="preserve">The Licensee shall keep the licensed trade secrets and know-how secret, use them only as this Agreement allows, and limit access to those who need them and are bound to confidentiality. This does not apply to information that is public through no fault of the Licensee or that the law requires it to disclose.</w:t>
      </w:r>
    </w:p>
    <w:p>
      <w:pPr>
        <w:pStyle w:val="Heading2"/>
        <w:keepNext/>
        <w:spacing w:after="120" w:before="240"/>
      </w:pPr>
      <w:r>
        <w:rPr>
          <w:rFonts w:ascii="Calibri" w:cs="Calibri" w:eastAsia="Calibri" w:hAnsi="Calibri"/>
          <w:b/>
          <w:bCs/>
          <w:color w:val="102B3F"/>
          <w:sz w:val="26"/>
          <w:szCs w:val="26"/>
        </w:rPr>
        <w:t xml:space="preserve">8. Termination</w:t>
      </w:r>
    </w:p>
    <w:p>
      <w:pPr>
        <w:keepLines/>
        <w:spacing w:after="120" w:line="264"/>
        <w:jc w:val="both"/>
      </w:pPr>
      <w:r>
        <w:rPr>
          <w:rFonts w:ascii="Calibri" w:cs="Calibri" w:eastAsia="Calibri" w:hAnsi="Calibri"/>
          <w:sz w:val="22"/>
          <w:szCs w:val="22"/>
        </w:rPr>
        <w:t xml:space="preserve">Either party may end this Agreement if the other materially breaches it and does not fix the breach within 60 days after written notice, or if the other becomes insolvent.</w:t>
      </w:r>
    </w:p>
    <w:p>
      <w:pPr>
        <w:keepLines/>
        <w:spacing w:after="120" w:line="264"/>
        <w:jc w:val="both"/>
      </w:pPr>
      <w:r>
        <w:rPr>
          <w:rFonts w:ascii="Calibri" w:cs="Calibri" w:eastAsia="Calibri" w:hAnsi="Calibri"/>
          <w:sz w:val="22"/>
          <w:szCs w:val="22"/>
        </w:rPr>
        <w:t xml:space="preserve">When the license ends, the Licensee shall stop using the licensed marks and stop making and selling new products that reproduce the licensed works, except to the extent this section lets it keep using technology already supplied to it. It shall also return or delete the confidential materials it is not entitled to keep using under this section, and shall pay all amounts that accrued up to the end date. No payment is due for any period after the end date (Section 87).</w:t>
      </w:r>
    </w:p>
    <w:p>
      <w:pPr>
        <w:keepLines/>
        <w:spacing w:after="120" w:line="264"/>
        <w:jc w:val="both"/>
      </w:pPr>
      <w:r>
        <w:rPr>
          <w:rFonts w:ascii="Calibri" w:cs="Calibri" w:eastAsia="Calibri" w:hAnsi="Calibri"/>
          <w:sz w:val="22"/>
          <w:szCs w:val="22"/>
        </w:rPr>
        <w:t xml:space="preserve">If this Agreement ends because its term expires, the Licensee may keep using the know-how already supplied to it. If it ends early because of the Licensee's breach, the Licensee shall stop using that know-how (Section 87).</w:t>
      </w:r>
    </w:p>
    <w:p>
      <w:pPr>
        <w:keepLines/>
        <w:spacing w:after="120" w:line="264"/>
        <w:jc w:val="both"/>
      </w:pPr>
      <w:r>
        <w:rPr>
          <w:rFonts w:ascii="Calibri" w:cs="Calibri" w:eastAsia="Calibri" w:hAnsi="Calibri"/>
          <w:sz w:val="22"/>
          <w:szCs w:val="22"/>
        </w:rPr>
        <w:t xml:space="preserve">If this Agreement ends because its term expires, the Licensee may keep using, for its own operations and in the version supplied, any software and technical documentation that the Licensor supplied to it under this Agreement. If it ends early because of the Licensee's breach, the Licensee shall stop using them (Section 87).</w:t>
      </w:r>
    </w:p>
    <w:p>
      <w:pPr>
        <w:pStyle w:val="Heading2"/>
        <w:keepNext/>
        <w:spacing w:after="120" w:before="240"/>
      </w:pPr>
      <w:r>
        <w:rPr>
          <w:rFonts w:ascii="Calibri" w:cs="Calibri" w:eastAsia="Calibri" w:hAnsi="Calibri"/>
          <w:b/>
          <w:bCs/>
          <w:color w:val="102B3F"/>
          <w:sz w:val="26"/>
          <w:szCs w:val="26"/>
        </w:rPr>
        <w:t xml:space="preserve">9. Recording</w:t>
      </w:r>
    </w:p>
    <w:p>
      <w:pPr>
        <w:keepLines/>
        <w:spacing w:after="120" w:line="264"/>
        <w:jc w:val="both"/>
      </w:pPr>
      <w:r>
        <w:rPr>
          <w:rFonts w:ascii="Calibri" w:cs="Calibri" w:eastAsia="Calibri" w:hAnsi="Calibri"/>
          <w:sz w:val="22"/>
          <w:szCs w:val="22"/>
        </w:rPr>
        <w:t xml:space="preserve">A license of a mark has no effect against third persons until it is recorded with the Intellectual Property Office (Section 150). The parties shall cooperate to record this license, or a summary of it, wherever recording is available or advisable, and each shall sign the documents that requires.</w:t>
      </w:r>
    </w:p>
    <w:p>
      <w:pPr>
        <w:pStyle w:val="Heading2"/>
        <w:keepNext/>
        <w:spacing w:after="120" w:before="240"/>
      </w:pPr>
      <w:r>
        <w:rPr>
          <w:rFonts w:ascii="Calibri" w:cs="Calibri" w:eastAsia="Calibri" w:hAnsi="Calibri"/>
          <w:b/>
          <w:bCs/>
          <w:color w:val="102B3F"/>
          <w:sz w:val="26"/>
          <w:szCs w:val="26"/>
        </w:rPr>
        <w:t xml:space="preserve">10. Governing law and disputes</w:t>
      </w:r>
    </w:p>
    <w:p>
      <w:pPr>
        <w:keepLines/>
        <w:spacing w:after="120" w:line="264"/>
        <w:jc w:val="both"/>
      </w:pPr>
      <w:r>
        <w:rPr>
          <w:rFonts w:ascii="Calibri" w:cs="Calibri" w:eastAsia="Calibri" w:hAnsi="Calibri"/>
          <w:sz w:val="22"/>
          <w:szCs w:val="22"/>
        </w:rPr>
        <w:t xml:space="preserve">As Section 88 of the Intellectual Property Code requires, Philippine law governs the interpretation of this Agreement, and any litigation shall be filed exclusively in the proper court of Pasig City, the place where the Licensee has its principal office, to the exclusion of all other courts.</w:t>
      </w:r>
    </w:p>
    <w:p>
      <w:pPr>
        <w:keepLines/>
        <w:spacing w:after="120" w:line="264"/>
        <w:jc w:val="both"/>
      </w:pPr>
      <w:r>
        <w:rPr>
          <w:rFonts w:ascii="Calibri" w:cs="Calibri" w:eastAsia="Calibri" w:hAnsi="Calibri"/>
          <w:sz w:val="22"/>
          <w:szCs w:val="22"/>
        </w:rPr>
        <w:t xml:space="preserve">Any dispute that the parties cannot settle shall be finally settled by arbitration under the Rules of Conciliation and Arbitration of the International Chamber of Commerce, seated in Makati City, Philippines, which is the Philippines or a neutral country. A neutral country is a country other than the Philippines where neither party was organized, registered, or existing, and with which neither party has a direct connection or legal ties.</w:t>
      </w:r>
    </w:p>
    <w:p>
      <w:pPr>
        <w:keepLines/>
        <w:spacing w:after="120" w:line="264"/>
        <w:jc w:val="both"/>
      </w:pPr>
      <w:r>
        <w:rPr>
          <w:rFonts w:ascii="Calibri" w:cs="Calibri" w:eastAsia="Calibri" w:hAnsi="Calibri"/>
          <w:sz w:val="22"/>
          <w:szCs w:val="22"/>
        </w:rPr>
        <w:t xml:space="preserve">This Agreement contains no clause that the Intellectual Property Code prohibits in technology transfer arrangements. In particular, it does not require the Licensee to transfer improvements for free, does not bar the Licensee from challenging the validity of the Licensed Rights, and does not restrict the Licensee's use of technology already supplied after the term expires. If any provision is held invalid, the rest remains in force.</w:t>
      </w:r>
    </w:p>
    <w:p>
      <w:pPr>
        <w:pStyle w:val="Heading2"/>
        <w:keepNext/>
        <w:spacing w:after="120" w:before="240"/>
      </w:pPr>
      <w:r>
        <w:rPr>
          <w:rFonts w:ascii="Calibri" w:cs="Calibri" w:eastAsia="Calibri" w:hAnsi="Calibri"/>
          <w:b/>
          <w:bCs/>
          <w:color w:val="102B3F"/>
          <w:sz w:val="26"/>
          <w:szCs w:val="26"/>
        </w:rPr>
        <w:t xml:space="preserve">11. Notices, assignment, and entire agreement</w:t>
      </w:r>
    </w:p>
    <w:p>
      <w:pPr>
        <w:keepLines/>
        <w:spacing w:after="120" w:line="264"/>
        <w:jc w:val="both"/>
      </w:pPr>
      <w:r>
        <w:rPr>
          <w:rFonts w:ascii="Calibri" w:cs="Calibri" w:eastAsia="Calibri" w:hAnsi="Calibri"/>
          <w:sz w:val="22"/>
          <w:szCs w:val="22"/>
        </w:rPr>
        <w:t xml:space="preserve">Notices under this Agreement must be in writing and delivered by hand, by courier, or by email. Notices to the Licensor go to 9/F Cebu IT Park, Lahug, Cebu City 6000 or by email to legal@kalikasan.example. Notices to the Licensee go to 3 Ortigas Center, Pasig City 1605 or by email to legal@mabuhayretail.example. A notice delivered by hand or courier is received on delivery. An email notice is received when it is sent, unless the sender receives a message that it was not delivered, but an email sent after 5:00 p.m. or on a day that is not a business day is received on the next business day. Either party may change its notice details by notice to the other.</w:t>
      </w:r>
    </w:p>
    <w:p>
      <w:pPr>
        <w:keepLines/>
        <w:spacing w:after="120" w:line="264"/>
        <w:jc w:val="both"/>
      </w:pPr>
      <w:r>
        <w:rPr>
          <w:rFonts w:ascii="Calibri" w:cs="Calibri" w:eastAsia="Calibri" w:hAnsi="Calibri"/>
          <w:sz w:val="22"/>
          <w:szCs w:val="22"/>
        </w:rPr>
        <w:t xml:space="preserve">Neither party may assign or transfer this Agreement, or any right or duty under it, without the other party's prior written consent.</w:t>
      </w:r>
    </w:p>
    <w:p>
      <w:pPr>
        <w:keepLines/>
        <w:spacing w:after="120" w:line="264"/>
        <w:jc w:val="both"/>
      </w:pPr>
      <w:r>
        <w:rPr>
          <w:rFonts w:ascii="Calibri" w:cs="Calibri" w:eastAsia="Calibri" w:hAnsi="Calibri"/>
          <w:sz w:val="22"/>
          <w:szCs w:val="22"/>
        </w:rPr>
        <w:t xml:space="preserve">This Agreement is the entire agreement between the parties on the license and replaces all earlier discussions and understandings about it. It may be amended only by a written document that both parties sign.</w:t>
      </w:r>
    </w:p>
    <w:p>
      <w:pPr>
        <w:keepNext/>
        <w:spacing w:after="260" w:before="360"/>
      </w:pPr>
      <w:r>
        <w:rPr>
          <w:rFonts w:ascii="Calibri" w:cs="Calibri" w:eastAsia="Calibri" w:hAnsi="Calibri"/>
          <w:b/>
          <w:bCs/>
          <w:sz w:val="22"/>
          <w:szCs w:val="22"/>
        </w:rPr>
        <w:t xml:space="preserve">IN WITNESS WHEREOF, the parties have signed this Agreement on October 20, 2026 at Makati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LICENSOR</w:t>
            </w:r>
          </w:p>
          <w:p>
            <w:pPr>
              <w:spacing w:after="120"/>
            </w:pPr>
            <w:r>
              <w:rPr>
                <w:rFonts w:ascii="Calibri" w:cs="Calibri" w:eastAsia="Calibri" w:hAnsi="Calibri"/>
                <w:sz w:val="22"/>
                <w:szCs w:val="22"/>
              </w:rPr>
              <w:t xml:space="preserve">Kalikasan Creative Studio, Inc.
By: Andrea M. Reyes, President
Signature over printed name: ______________________________</w:t>
            </w:r>
          </w:p>
          <w:p>
            <w:pPr>
              <w:spacing w:after="120"/>
            </w:pPr>
            <w:r>
              <w:rPr>
                <w:rFonts w:ascii="Calibri" w:cs="Calibri" w:eastAsia="Calibri" w:hAnsi="Calibri"/>
                <w:sz w:val="22"/>
                <w:szCs w:val="22"/>
              </w:rPr>
              <w:t xml:space="preserve">Licensor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LICENSEE</w:t>
            </w:r>
          </w:p>
          <w:p>
            <w:pPr>
              <w:spacing w:after="120"/>
            </w:pPr>
            <w:r>
              <w:rPr>
                <w:rFonts w:ascii="Calibri" w:cs="Calibri" w:eastAsia="Calibri" w:hAnsi="Calibri"/>
                <w:sz w:val="22"/>
                <w:szCs w:val="22"/>
              </w:rPr>
              <w:t xml:space="preserve">Mabuhay Retail Holdings, Inc.
By: Liza T. Ramos, Chief Executive Officer
Signature over printed name: ______________________________</w:t>
            </w:r>
          </w:p>
          <w:p>
            <w:pPr>
              <w:spacing w:after="120"/>
            </w:pPr>
            <w:r>
              <w:rPr>
                <w:rFonts w:ascii="Calibri" w:cs="Calibri" w:eastAsia="Calibri" w:hAnsi="Calibri"/>
                <w:sz w:val="22"/>
                <w:szCs w:val="22"/>
              </w:rPr>
              <w:t xml:space="preserve">Licensee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Andrea M. Reyes, President, for Kalikasan Creative Studio, Inc.; and Liza T. Ramos, Chief Executive Officer, for Mabuhay Retail Holdings, Inc., identified through competent evidence of identity, ID No(s). __________________ / issued at and on __________________ / valid until __________________, known to me and to me known to be the same persons who executed this Intellectual Property License Agreement. Each of them represented to me that the signature on the instrument was voluntarily affixed by him or her for the purposes stated in it, and acknowledged that he or she executed it as his or her free and voluntary act and deed and as the free and voluntary act and deed of the person or entity he or she represents, and that he or she has the authority to sign in that capacity.</w:t>
      </w:r>
    </w:p>
    <w:p>
      <w:pPr>
        <w:keepLines/>
        <w:spacing w:after="120" w:line="264"/>
        <w:jc w:val="both"/>
      </w:pPr>
      <w:r>
        <w:rPr>
          <w:rFonts w:ascii="Calibri" w:cs="Calibri" w:eastAsia="Calibri" w:hAnsi="Calibri"/>
          <w:sz w:val="22"/>
          <w:szCs w:val="22"/>
        </w:rPr>
        <w:t xml:space="preserve">NOTARY PUBLIC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the Licensor really owns, or is entitled to license, each right. Check the register for the mark, patent, or design, and ask for the chain of title for copyright works. A licensee cannot get more than the licensor has.</w:t>
      </w:r>
    </w:p>
    <w:p>
      <w:pPr>
        <w:pStyle w:val="ListParagraph"/>
        <w:keepNext/>
        <w:numPr>
          <w:ilvl w:val="0"/>
          <w:numId w:val="1"/>
        </w:numPr>
        <w:spacing w:after="120" w:line="264"/>
      </w:pPr>
      <w:r>
        <w:rPr>
          <w:rFonts w:ascii="Calibri" w:cs="Calibri" w:eastAsia="Calibri" w:hAnsi="Calibri"/>
          <w:sz w:val="22"/>
          <w:szCs w:val="22"/>
        </w:rPr>
        <w:t xml:space="preserve">A trademark license without effective quality control by the licensor is not valid (Intellectual Property Code, Section 150). Set real standards, ask for samples, and actually inspect. Keep records of the approvals.</w:t>
      </w:r>
    </w:p>
    <w:p>
      <w:pPr>
        <w:pStyle w:val="ListParagraph"/>
        <w:keepNext/>
        <w:numPr>
          <w:ilvl w:val="0"/>
          <w:numId w:val="1"/>
        </w:numPr>
        <w:spacing w:after="120" w:line="264"/>
      </w:pPr>
      <w:r>
        <w:rPr>
          <w:rFonts w:ascii="Calibri" w:cs="Calibri" w:eastAsia="Calibri" w:hAnsi="Calibri"/>
          <w:sz w:val="22"/>
          <w:szCs w:val="22"/>
        </w:rPr>
        <w:t xml:space="preserve">The Code lists mandatory terms and prohibited clauses for technology transfer arrangements (Sections 87 and 88). This template applies the mandatory terms and leaves out the prohibited ones, such as a forced free transfer of improvements, an unjustified export ban, restrictions on using supplied technology after expiry, and a bar on challenging validity. An arrangement that does not conform is unenforceable unless the IPOPHL grants an exemption and registers it (Sections 91 and 92). Do not add such clauses without advice.</w:t>
      </w:r>
    </w:p>
    <w:p>
      <w:pPr>
        <w:pStyle w:val="ListParagraph"/>
        <w:keepNext/>
        <w:numPr>
          <w:ilvl w:val="0"/>
          <w:numId w:val="1"/>
        </w:numPr>
        <w:spacing w:after="120" w:line="264"/>
      </w:pPr>
      <w:r>
        <w:rPr>
          <w:rFonts w:ascii="Calibri" w:cs="Calibri" w:eastAsia="Calibri" w:hAnsi="Calibri"/>
          <w:sz w:val="22"/>
          <w:szCs w:val="22"/>
        </w:rPr>
        <w:t xml:space="preserve">Under IPOPHL Memorandum Circular No. 2020-002, a license is a technology transfer arrangement only if it involves the transfer of systematic knowledge, such as software, technical documentation, or know-how. If you are unsure, the IPOPHL's Documentation, Information and Technology Transfer Bureau can review a draft before signing. If you need to restrict the use of supplied technology after the term to protect a patent, copyright, or trade secret that is still in force, ask for an exemption before signing; do not simply add the restriction.</w:t>
      </w:r>
    </w:p>
    <w:p>
      <w:pPr>
        <w:pStyle w:val="ListParagraph"/>
        <w:keepNext/>
        <w:numPr>
          <w:ilvl w:val="0"/>
          <w:numId w:val="1"/>
        </w:numPr>
        <w:spacing w:after="120" w:line="264"/>
      </w:pPr>
      <w:r>
        <w:rPr>
          <w:rFonts w:ascii="Calibri" w:cs="Calibri" w:eastAsia="Calibri" w:hAnsi="Calibri"/>
          <w:sz w:val="22"/>
          <w:szCs w:val="22"/>
        </w:rPr>
        <w:t xml:space="preserve">If a company signs, the notary will ask for proof that its signatory has authority, such as a board resolution or secretary's certificate. Bring it to the signing and attach a copy to the license.</w:t>
      </w:r>
    </w:p>
    <w:p>
      <w:pPr>
        <w:pStyle w:val="ListParagraph"/>
        <w:keepNext/>
        <w:numPr>
          <w:ilvl w:val="0"/>
          <w:numId w:val="1"/>
        </w:numPr>
        <w:spacing w:after="120" w:line="264"/>
      </w:pPr>
      <w:r>
        <w:rPr>
          <w:rFonts w:ascii="Calibri" w:cs="Calibri" w:eastAsia="Calibri" w:hAnsi="Calibri"/>
          <w:sz w:val="22"/>
          <w:szCs w:val="22"/>
        </w:rPr>
        <w:t xml:space="preserve">Record the license. A trademark license has no effect against third persons until it is recorded with the Intellectual Property Office. Ask whether recording or registration of the technology transfer arrangement is advisable for the other rights.</w:t>
      </w:r>
    </w:p>
    <w:p>
      <w:pPr>
        <w:pStyle w:val="ListParagraph"/>
        <w:keepNext/>
        <w:numPr>
          <w:ilvl w:val="0"/>
          <w:numId w:val="1"/>
        </w:numPr>
        <w:spacing w:after="120" w:line="264"/>
      </w:pPr>
      <w:r>
        <w:rPr>
          <w:rFonts w:ascii="Calibri" w:cs="Calibri" w:eastAsia="Calibri" w:hAnsi="Calibri"/>
          <w:sz w:val="22"/>
          <w:szCs w:val="22"/>
        </w:rPr>
        <w:t xml:space="preserve">Exclusive, worldwide, or long licenses can restrict competition. Keep exclusivity, territory, and term proportionate, and take advice under the Philippine Competition Act if the market is concentrated.</w:t>
      </w:r>
    </w:p>
    <w:p>
      <w:pPr>
        <w:pStyle w:val="ListParagraph"/>
        <w:keepNext/>
        <w:numPr>
          <w:ilvl w:val="0"/>
          <w:numId w:val="1"/>
        </w:numPr>
        <w:spacing w:after="120" w:line="264"/>
      </w:pPr>
      <w:r>
        <w:rPr>
          <w:rFonts w:ascii="Calibri" w:cs="Calibri" w:eastAsia="Calibri" w:hAnsi="Calibri"/>
          <w:sz w:val="22"/>
          <w:szCs w:val="22"/>
        </w:rPr>
        <w:t xml:space="preserve">Check the tax treatment of royalties with an accountant, including withholding tax, value-added tax, and who bears them. This template puts Philippine taxes on payments on the Licensor, as the Code requires for technology transfer arrangements.</w:t>
      </w:r>
    </w:p>
    <w:p>
      <w:pPr>
        <w:pStyle w:val="ListParagraph"/>
        <w:keepNext/>
        <w:numPr>
          <w:ilvl w:val="0"/>
          <w:numId w:val="1"/>
        </w:numPr>
        <w:spacing w:after="120" w:line="264"/>
      </w:pPr>
      <w:r>
        <w:rPr>
          <w:rFonts w:ascii="Calibri" w:cs="Calibri" w:eastAsia="Calibri" w:hAnsi="Calibri"/>
          <w:sz w:val="22"/>
          <w:szCs w:val="22"/>
        </w:rPr>
        <w:t xml:space="preserve">Check the Net Sales definition against how the Licensee actually invoices, including discounts, returns, and sublicensee sales, and keep the Licensee's records for the audit period. Royalty disputes are usually about how net sales are calculated.</w:t>
      </w:r>
    </w:p>
    <w:p>
      <w:pPr>
        <w:pStyle w:val="ListParagraph"/>
        <w:keepNext/>
        <w:numPr>
          <w:ilvl w:val="0"/>
          <w:numId w:val="1"/>
        </w:numPr>
        <w:spacing w:after="120" w:line="264"/>
      </w:pPr>
      <w:r>
        <w:rPr>
          <w:rFonts w:ascii="Calibri" w:cs="Calibri" w:eastAsia="Calibri" w:hAnsi="Calibri"/>
          <w:sz w:val="22"/>
          <w:szCs w:val="22"/>
        </w:rPr>
        <w:t xml:space="preserve">Litigation must be in the proper court where the Licensee has its principal office. Arbitration may follow the Arbitration Law of the Philippines, the UNCITRAL rules, or the ICC rules, and must be seated in the Philippines or a neutral country, meaning a country where neither party was organized or exists and with which neither has a direct connection.</w:t>
      </w:r>
    </w:p>
    <w:p>
      <w:pPr>
        <w:pStyle w:val="ListParagraph"/>
        <w:keepNext/>
        <w:numPr>
          <w:ilvl w:val="0"/>
          <w:numId w:val="1"/>
        </w:numPr>
        <w:spacing w:after="120" w:line="264"/>
      </w:pPr>
      <w:r>
        <w:rPr>
          <w:rFonts w:ascii="Calibri" w:cs="Calibri" w:eastAsia="Calibri" w:hAnsi="Calibri"/>
          <w:sz w:val="22"/>
          <w:szCs w:val="22"/>
        </w:rPr>
        <w:t xml:space="preserve">A copyright is not deemed licensed unless there is a written indication of that intention (Section 180), so keep the signed license even for a simple software or content license.</w:t>
      </w:r>
    </w:p>
    <w:p>
      <w:pPr>
        <w:pStyle w:val="ListParagraph"/>
        <w:keepNext/>
        <w:numPr>
          <w:ilvl w:val="0"/>
          <w:numId w:val="1"/>
        </w:numPr>
        <w:spacing w:after="120" w:line="264"/>
      </w:pPr>
      <w:r>
        <w:rPr>
          <w:rFonts w:ascii="Calibri" w:cs="Calibri" w:eastAsia="Calibri" w:hAnsi="Calibri"/>
          <w:sz w:val="22"/>
          <w:szCs w:val="22"/>
        </w:rPr>
        <w:t xml:space="preserve">Plan the end of the license. Decide what happens to stock, sublicensees, and customer records. On normal expiry the Licensee keeps the right to use technology already supplied to it, such as know-how, software, and technical documentation, because the Code limits restrictions on using supplied technology after the term expires.</w:t>
      </w:r>
    </w:p>
    <w:p>
      <w:pPr>
        <w:pStyle w:val="ListParagraph"/>
        <w:keepNext w:val="false"/>
        <w:numPr>
          <w:ilvl w:val="0"/>
          <w:numId w:val="1"/>
        </w:numPr>
        <w:spacing w:after="120" w:line="264"/>
      </w:pPr>
      <w:r>
        <w:rPr>
          <w:rFonts w:ascii="Calibri" w:cs="Calibri" w:eastAsia="Calibri" w:hAnsi="Calibri"/>
          <w:sz w:val="22"/>
          <w:szCs w:val="22"/>
        </w:rPr>
        <w:t xml:space="preserve">Use a Philippine intellectual property lawyer for a foreign party, an exclusive or worldwide license, a valuable brand or technology, or any regulated product.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intellectual-property lawyer review pending | Last legal check 2026-10-01 | Next review due 2026-11-01</w:t>
      </w:r>
    </w:p>
    <w:p>
      <w:pPr>
        <w:keepNext/>
        <w:spacing w:after="60" w:before="100"/>
      </w:pPr>
      <w:r>
        <w:rPr>
          <w:rFonts w:ascii="Calibri" w:cs="Calibri" w:eastAsia="Calibri" w:hAnsi="Calibri"/>
          <w:b/>
          <w:bCs/>
          <w:sz w:val="18"/>
          <w:szCs w:val="18"/>
        </w:rPr>
        <w:t xml:space="preserve">Intellectual Property Code of the Philippines (Republic Act No. 8293), as amended - Sec. 4.2 (technology transfer arrangements include the licensing of intellectual property rights and of computer software not developed for the mass market); Sec. 87 (prohibited clauses, including a forced free transfer of the licensee's improvements, an unjustified export ban (87.8), restrictions on using supplied technology after expiry except on early termination for the licensee's fault (87.9), payments after expiry, bars on contesting validity, and exemptions of the licensor's liability); Sec. 88 (mandatory terms: Philippine law, venue at the licensee's principal office, continued access to improvements, arbitration under Philippine arbitration law or the UNCITRAL or ICC rules seated in the Philippines or a neutral country, and Philippine taxes borne by the licensor); Secs. 91–92 (exemptions; non-conformance with Secs. 87 and 88 makes the arrangement unenforceable unless it is approved and registered); Sec. 150 (a trademark license needs effective quality control or it is not valid, and is recorded for effect on third persons); Sec. 180 (a copyright is not deemed licensed without a written indication of that intention) (checked 2026-10-01)</w:t>
      </w:r>
    </w:p>
    <w:p>
      <w:pPr>
        <w:spacing w:after="120"/>
      </w:pPr>
      <w:hyperlink w:history="1" r:id="rIdjs1g4av7_7eu4fixxm9d5">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IPOPHL Memorandum Circular No. 2020-002, Revised Rules and Regulations on Voluntary Licensing (copy of the signed circular) - Rule 1(c) (narrow meaning of software developed for the mass market) and Rule 1(n) (a transfer, assignment, or license of intellectual property is a technology transfer arrangement only if it involves the transfer of systematic knowledge); Rules 2–3 (prohibited clauses and mandatory provisions, including the meaning of 'any neutral country'); Rule 4 (conformity); Rule 5 (exemptions, preliminary review of draft agreements, and post-expiry restrictions protecting subsisting rights). The IPOPHL website blocks automated access, so this record cites a law firm's copy of the signed circular (checked 2026-10-01)</w:t>
      </w:r>
    </w:p>
    <w:p>
      <w:pPr>
        <w:spacing w:after="120"/>
      </w:pPr>
      <w:hyperlink w:history="1" r:id="rIdtgmantqzxdh9q-_ty2_pt">
        <w:r>
          <w:rPr>
            <w:rFonts w:ascii="Calibri" w:cs="Calibri" w:eastAsia="Calibri" w:hAnsi="Calibri"/>
            <w:color w:val="315B75"/>
            <w:sz w:val="17"/>
            <w:szCs w:val="17"/>
            <w:u w:val="single"/>
          </w:rPr>
          <w:t xml:space="preserve">https://deleoniplaw.com/wp-content/uploads/Laws/tech-transfer/Revised-Rules-Regulations-on-Voluntary-Licensing.pdf</w:t>
        </w:r>
      </w:hyperlink>
    </w:p>
    <w:p>
      <w:pPr>
        <w:keepNext/>
        <w:spacing w:after="60" w:before="100"/>
      </w:pPr>
      <w:r>
        <w:rPr>
          <w:rFonts w:ascii="Calibri" w:cs="Calibri" w:eastAsia="Calibri" w:hAnsi="Calibri"/>
          <w:b/>
          <w:bCs/>
          <w:sz w:val="18"/>
          <w:szCs w:val="18"/>
        </w:rPr>
        <w:t xml:space="preserve">Philippine Competition Act (Republic Act No. 10667) - Sec. 14: agreements that substantially prevent, restrict, or lessen competition, which exclusivity and territorial terms must not create (checked 2026-10-01)</w:t>
      </w:r>
    </w:p>
    <w:p>
      <w:pPr>
        <w:spacing w:after="120"/>
      </w:pPr>
      <w:hyperlink w:history="1" r:id="rId0ikxuidi5q1mbutpuix9n">
        <w:r>
          <w:rPr>
            <w:rFonts w:ascii="Calibri" w:cs="Calibri" w:eastAsia="Calibri" w:hAnsi="Calibri"/>
            <w:color w:val="315B75"/>
            <w:sz w:val="17"/>
            <w:szCs w:val="17"/>
            <w:u w:val="single"/>
          </w:rPr>
          <w:t xml:space="preserve">https://lawphil.net/statutes/repacts/ra2015/ra_10667_2015.html</w:t>
        </w:r>
      </w:hyperlink>
    </w:p>
    <w:p>
      <w:pPr>
        <w:keepNext/>
        <w:spacing w:after="60" w:before="100"/>
      </w:pPr>
      <w:r>
        <w:rPr>
          <w:rFonts w:ascii="Calibri" w:cs="Calibri" w:eastAsia="Calibri" w:hAnsi="Calibri"/>
          <w:b/>
          <w:bCs/>
          <w:sz w:val="18"/>
          <w:szCs w:val="18"/>
        </w:rPr>
        <w:t xml:space="preserve">Civil Code of the Philippines (Republic Act No. 386) - Art. 1306 (freedom to contract within legal limits), Art. 1349 (the object must be determinate), Art. 1377 (obscure stipulations are read against the party who caused the obscurity), Art. 1229 (equitable reduction of an iniquitous penalty), Arts. 1170–1171 (negligence and fraud liability) (checked 2026-10-01)</w:t>
      </w:r>
    </w:p>
    <w:p>
      <w:pPr>
        <w:spacing w:after="120"/>
      </w:pPr>
      <w:hyperlink w:history="1" r:id="rIdpvsugwcw49emmus1-3bpe">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National Internal Revenue Code of 1997 (Republic Act No. 8424), as amended - Withholding and value-added tax on royalties and other payments for the use of intellectual property (checked 2026-10-01)</w:t>
      </w:r>
    </w:p>
    <w:p>
      <w:pPr>
        <w:spacing w:after="120"/>
      </w:pPr>
      <w:hyperlink w:history="1" r:id="rIdqnxtn377t7h8iewlhbzyd">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Alternative Dispute Resolution Act of 2004 (Republic Act No. 9285) - Arbitration and mediation as agreed dispute routes; Sec. 32 (domestic arbitration continues to be governed by Republic Act No. 876, the Arbitration Law) (checked 2026-10-01)</w:t>
      </w:r>
    </w:p>
    <w:p>
      <w:pPr>
        <w:spacing w:after="120"/>
      </w:pPr>
      <w:hyperlink w:history="1" r:id="rId1iwwfr-3gy8qbdy8bp-2f">
        <w:r>
          <w:rPr>
            <w:rFonts w:ascii="Calibri" w:cs="Calibri" w:eastAsia="Calibri" w:hAnsi="Calibri"/>
            <w:color w:val="315B75"/>
            <w:sz w:val="17"/>
            <w:szCs w:val="17"/>
            <w:u w:val="single"/>
          </w:rPr>
          <w:t xml:space="preserve">https://lawphil.net/statutes/repacts/ra2004/ra_9285_2004.html</w:t>
        </w:r>
      </w:hyperlink>
    </w:p>
    <w:p>
      <w:pPr>
        <w:keepNext/>
        <w:spacing w:after="60" w:before="100"/>
      </w:pPr>
      <w:r>
        <w:rPr>
          <w:rFonts w:ascii="Calibri" w:cs="Calibri" w:eastAsia="Calibri" w:hAnsi="Calibri"/>
          <w:b/>
          <w:bCs/>
          <w:sz w:val="18"/>
          <w:szCs w:val="18"/>
        </w:rPr>
        <w:t xml:space="preserve">2004 Rules on Notarial Practice - Rule II Sec. 1 (an acknowledgment includes the signer's representation, when acting in a representative capacity, that he or she has the authority to sign in that capacity); personal appearance, competent evidence of identity, and certificate requirements where the license is notarized (checked 2026-10-01)</w:t>
      </w:r>
    </w:p>
    <w:p>
      <w:pPr>
        <w:spacing w:after="120"/>
      </w:pPr>
      <w:hyperlink w:history="1" r:id="rIdplvshkix91cdoh3wdogrj">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route, accredited electronic notary and facility requirements; available only once the Supreme Court's electronic notarization launches (announced for 19 October 2026) (checked 2026-10-01)</w:t>
      </w:r>
    </w:p>
    <w:p>
      <w:pPr>
        <w:spacing w:after="120"/>
      </w:pPr>
      <w:hyperlink w:history="1" r:id="rIdawzl4vgdw2xq4uzucenhb">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DFA Apostille guidance - Apostille routing for a license signed and notarized abroad (checked 2026-09-21)</w:t>
      </w:r>
    </w:p>
    <w:p>
      <w:pPr>
        <w:spacing w:after="120"/>
      </w:pPr>
      <w:hyperlink w:history="1" r:id="rIdb9cdg8o56psxybcta87ge">
        <w:r>
          <w:rPr>
            <w:rFonts w:ascii="Calibri" w:cs="Calibri" w:eastAsia="Calibri" w:hAnsi="Calibri"/>
            <w:color w:val="315B75"/>
            <w:sz w:val="17"/>
            <w:szCs w:val="17"/>
            <w:u w:val="single"/>
          </w:rPr>
          <w:t xml:space="preserve">https://dfa.gov.ph/dfa-news/dfa-releasesupdate/22280-questions-et-r%C3%83%C6%92%C3%82%C2%A9ponses-et-infographies-sur-l%27authentification-par-apostille</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1g4av7_7eu4fixxm9d5" Type="http://schemas.openxmlformats.org/officeDocument/2006/relationships/hyperlink" Target="https://lawphil.net/statutes/repacts/ra1997/ra_8293_1997.html" TargetMode="External"/><Relationship Id="rIdtgmantqzxdh9q-_ty2_pt" Type="http://schemas.openxmlformats.org/officeDocument/2006/relationships/hyperlink" Target="https://deleoniplaw.com/wp-content/uploads/Laws/tech-transfer/Revised-Rules-Regulations-on-Voluntary-Licensing.pdf" TargetMode="External"/><Relationship Id="rId0ikxuidi5q1mbutpuix9n" Type="http://schemas.openxmlformats.org/officeDocument/2006/relationships/hyperlink" Target="https://lawphil.net/statutes/repacts/ra2015/ra_10667_2015.html" TargetMode="External"/><Relationship Id="rIdpvsugwcw49emmus1-3bpe" Type="http://schemas.openxmlformats.org/officeDocument/2006/relationships/hyperlink" Target="https://lawphil.net/statutes/repacts/ra1949/ra_386_1949.html" TargetMode="External"/><Relationship Id="rIdqnxtn377t7h8iewlhbzyd" Type="http://schemas.openxmlformats.org/officeDocument/2006/relationships/hyperlink" Target="https://lawphil.net/statutes/repacts/ra1997/ra_8424_1997.html" TargetMode="External"/><Relationship Id="rId1iwwfr-3gy8qbdy8bp-2f" Type="http://schemas.openxmlformats.org/officeDocument/2006/relationships/hyperlink" Target="https://lawphil.net/statutes/repacts/ra2004/ra_9285_2004.html" TargetMode="External"/><Relationship Id="rIdplvshkix91cdoh3wdogrj" Type="http://schemas.openxmlformats.org/officeDocument/2006/relationships/hyperlink" Target="https://sc.judiciary.gov.ph/wp-content/uploads/2022/08/02-08-13-SC-1.pdf" TargetMode="External"/><Relationship Id="rIdawzl4vgdw2xq4uzucenhb" Type="http://schemas.openxmlformats.org/officeDocument/2006/relationships/hyperlink" Target="https://sc.judiciary.gov.ph/24-10-14-sc-rules-on-electronic-notarization/" TargetMode="External"/><Relationship Id="rIdb9cdg8o56psxybcta87ge" Type="http://schemas.openxmlformats.org/officeDocument/2006/relationships/hyperlink" Target="https://dfa.gov.ph/dfa-news/dfa-releasesupdate/22280-questions-et-r%C3%83%C6%92%C3%82%C2%A9ponses-et-infographies-sur-l%27authentification-par-apostille"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LICENSE AGREEMENT</dc:title>
  <dc:creator>LAW.PH</dc:creator>
  <dc:description>Free sample of the Intellectual Property License Agreement from LAW.PH, with fictional details</dc:description>
  <cp:lastModifiedBy>Un-named</cp:lastModifiedBy>
  <cp:revision>1</cp:revision>
  <dcterms:created xsi:type="dcterms:W3CDTF">2026-10-02T05:29:57.491Z</dcterms:created>
  <dcterms:modified xsi:type="dcterms:W3CDTF">2026-10-02T05:29:57.491Z</dcterms:modified>
</cp:coreProperties>
</file>

<file path=docProps/custom.xml><?xml version="1.0" encoding="utf-8"?>
<Properties xmlns="http://schemas.openxmlformats.org/officeDocument/2006/custom-properties" xmlns:vt="http://schemas.openxmlformats.org/officeDocument/2006/docPropsVTypes"/>
</file>