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LOAN AGREEMENT AND PROMISSORY NOTE</w:t>
      </w:r>
    </w:p>
    <w:p>
      <w:pPr>
        <w:spacing w:after="160"/>
        <w:jc w:val="center"/>
      </w:pPr>
      <w:r>
        <w:rPr>
          <w:rFonts w:ascii="Calibri" w:cs="Calibri" w:eastAsia="Calibri" w:hAnsi="Calibri"/>
          <w:color w:val="566674"/>
          <w:sz w:val="18"/>
          <w:szCs w:val="18"/>
        </w:rPr>
        <w:t xml:space="preserve">Republic of the Philippines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lawyer review pending</w:t>
      </w:r>
    </w:p>
    <w:p>
      <w:pPr>
        <w:keepLines/>
        <w:spacing w:after="120" w:line="264"/>
        <w:jc w:val="both"/>
      </w:pPr>
      <w:r>
        <w:rPr>
          <w:rFonts w:ascii="Calibri" w:cs="Calibri" w:eastAsia="Calibri" w:hAnsi="Calibri"/>
          <w:sz w:val="22"/>
          <w:szCs w:val="22"/>
        </w:rPr>
        <w:t xml:space="preserve">This Loan Agreement and Promissory Note (the “Agreement”) is made on August 29, 2026 between Maria L. Santos, an individual with address at 100 Ayala Avenue, Makati City 1226, as “Lender,” and Juan Dela Cruz, an individual with address at 20 Kalayaan Avenue, Quezon City 1100, as “Borrower.”</w:t>
      </w:r>
    </w:p>
    <w:p>
      <w:pPr>
        <w:keepLines/>
        <w:spacing w:after="120" w:line="264"/>
        <w:jc w:val="both"/>
      </w:pPr>
      <w:r>
        <w:rPr>
          <w:rFonts w:ascii="Calibri" w:cs="Calibri" w:eastAsia="Calibri" w:hAnsi="Calibri"/>
          <w:sz w:val="22"/>
          <w:szCs w:val="22"/>
        </w:rPr>
        <w:t xml:space="preserve">FOR VALUE RECEIVED, the Borrower unconditionally promises to pay the Lender the principal sum of ₱120,000.00, together with only the interest and lawful charges expressly stated in this Agreement, according to the schedule below.</w:t>
      </w:r>
    </w:p>
    <w:p>
      <w:pPr>
        <w:pStyle w:val="Heading2"/>
        <w:keepNext/>
        <w:spacing w:after="120" w:before="240"/>
      </w:pPr>
      <w:r>
        <w:rPr>
          <w:rFonts w:ascii="Calibri" w:cs="Calibri" w:eastAsia="Calibri" w:hAnsi="Calibri"/>
          <w:b/>
          <w:bCs/>
          <w:color w:val="102B3F"/>
          <w:sz w:val="26"/>
          <w:szCs w:val="26"/>
        </w:rPr>
        <w:t xml:space="preserve">1. Loan purpose and disbursement</w:t>
      </w:r>
    </w:p>
    <w:p>
      <w:pPr>
        <w:keepLines/>
        <w:spacing w:after="120" w:line="264"/>
        <w:jc w:val="both"/>
      </w:pPr>
      <w:r>
        <w:rPr>
          <w:rFonts w:ascii="Calibri" w:cs="Calibri" w:eastAsia="Calibri" w:hAnsi="Calibri"/>
          <w:sz w:val="22"/>
          <w:szCs w:val="22"/>
        </w:rPr>
        <w:t xml:space="preserve">The loan is for this lawful purpose: Purchase of specifically identified equipment for the Borrower's printing business. The stated purpose does not limit the Borrower's payment obligation unless mandatory law requires otherwise.</w:t>
      </w:r>
    </w:p>
    <w:p>
      <w:pPr>
        <w:keepLines/>
        <w:spacing w:after="120" w:line="264"/>
        <w:jc w:val="both"/>
      </w:pPr>
      <w:r>
        <w:rPr>
          <w:rFonts w:ascii="Calibri" w:cs="Calibri" w:eastAsia="Calibri" w:hAnsi="Calibri"/>
          <w:sz w:val="22"/>
          <w:szCs w:val="22"/>
        </w:rPr>
        <w:t xml:space="preserve">The Lender shall disburse ₱120,000.00 on August 31, 2026 by bank transfer to the Borrower's nominated account, with transfer confirmation retained by both parties. The Lender's duty to fund and the Borrower's duty to repay are supported by documented transfer, receipt, or other reliable evidence of actual disbursement. No interest accrues before actual disbursement.</w:t>
      </w:r>
    </w:p>
    <w:p>
      <w:pPr>
        <w:pStyle w:val="Heading2"/>
        <w:keepNext/>
        <w:spacing w:after="120" w:before="240"/>
      </w:pPr>
      <w:r>
        <w:rPr>
          <w:rFonts w:ascii="Calibri" w:cs="Calibri" w:eastAsia="Calibri" w:hAnsi="Calibri"/>
          <w:b/>
          <w:bCs/>
          <w:color w:val="102B3F"/>
          <w:sz w:val="26"/>
          <w:szCs w:val="26"/>
        </w:rPr>
        <w:t xml:space="preserve">2. Written interest and finance-charge disclosure</w:t>
      </w:r>
    </w:p>
    <w:p>
      <w:pPr>
        <w:keepLines/>
        <w:spacing w:after="120" w:line="264"/>
        <w:jc w:val="both"/>
      </w:pPr>
      <w:r>
        <w:rPr>
          <w:rFonts w:ascii="Calibri" w:cs="Calibri" w:eastAsia="Calibri" w:hAnsi="Calibri"/>
          <w:sz w:val="22"/>
          <w:szCs w:val="22"/>
        </w:rPr>
        <w:t xml:space="preserve">The unpaid principal bears simple conventional interest at the expressly stipulated rate of 12% per year. Interest is computed on the daily reducing principal balance using actual elapsed days divided by 365, rounded to the nearest centavo for each installment. This written stipulation is intended to satisfy Article 1956 of the Civil Code; no unstated interest, add-on interest, or compounding is agreed.</w:t>
      </w:r>
    </w:p>
    <w:p>
      <w:pPr>
        <w:keepLines/>
        <w:spacing w:after="120" w:line="264"/>
        <w:jc w:val="both"/>
      </w:pPr>
      <w:r>
        <w:rPr>
          <w:rFonts w:ascii="Calibri" w:cs="Calibri" w:eastAsia="Calibri" w:hAnsi="Calibri"/>
          <w:sz w:val="22"/>
          <w:szCs w:val="22"/>
        </w:rPr>
        <w:t xml:space="preserve">Assuming timely payments exactly as scheduled and no prepayment or default, the disclosed conventional finance charge is ₱7,758.90, the principal is ₱120,000.00, and the total scheduled payment is ₱127,758.90. There is no origination fee in this Agreement. These figures change only for an actual prepayment, delay, lawful tax, or signed amendment.</w:t>
      </w:r>
    </w:p>
    <w:p>
      <w:pPr>
        <w:keepLines/>
        <w:spacing w:after="120" w:line="264"/>
        <w:jc w:val="both"/>
      </w:pPr>
      <w:r>
        <w:rPr>
          <w:rFonts w:ascii="Calibri" w:cs="Calibri" w:eastAsia="Calibri" w:hAnsi="Calibri"/>
          <w:sz w:val="22"/>
          <w:szCs w:val="22"/>
        </w:rPr>
        <w:t xml:space="preserve">The selected rates fall within this generator's standard-review band, but enforceability still depends on the transaction's circumstances and applicable law.</w:t>
      </w:r>
    </w:p>
    <w:p>
      <w:pPr>
        <w:pStyle w:val="Heading2"/>
        <w:keepNext/>
        <w:spacing w:after="120" w:before="240"/>
      </w:pPr>
      <w:r>
        <w:rPr>
          <w:rFonts w:ascii="Calibri" w:cs="Calibri" w:eastAsia="Calibri" w:hAnsi="Calibri"/>
          <w:b/>
          <w:bCs/>
          <w:color w:val="102B3F"/>
          <w:sz w:val="26"/>
          <w:szCs w:val="26"/>
        </w:rPr>
        <w:t xml:space="preserve">3. Repayment schedule</w:t>
      </w:r>
    </w:p>
    <w:p>
      <w:pPr>
        <w:keepLines/>
        <w:spacing w:after="120" w:line="264"/>
        <w:jc w:val="both"/>
      </w:pPr>
      <w:r>
        <w:rPr>
          <w:rFonts w:ascii="Calibri" w:cs="Calibri" w:eastAsia="Calibri" w:hAnsi="Calibri"/>
          <w:sz w:val="22"/>
          <w:szCs w:val="22"/>
        </w:rPr>
        <w:t xml:space="preserve">The Borrower shall make 12 payments monthly, beginning September 30, 2026, by bank transfer to the Lender's account stated in a signed payment instruction. A payment is credited when actually received in cleared funds. Each ordinary payment is applied first to the scheduled interest for that period and then to principal; a lawful payment application required by Article 1253 or another mandatory rule prevails.</w:t>
      </w:r>
    </w:p>
    <w:p>
      <w:pPr>
        <w:keepLines/>
        <w:spacing w:after="120" w:line="264"/>
        <w:jc w:val="both"/>
      </w:pPr>
      <w:r>
        <w:rPr>
          <w:rFonts w:ascii="Calibri" w:cs="Calibri" w:eastAsia="Calibri" w:hAnsi="Calibri"/>
          <w:sz w:val="22"/>
          <w:szCs w:val="22"/>
        </w:rPr>
        <w:t xml:space="preserve">Installment 1 — due September 30, 2026; opening principal ₱120,000.00; 30 days; principal ₱10,000.00; interest ₱1,183.56; total payment ₱11,183.56; closing principal ₱110,000.00.</w:t>
      </w:r>
    </w:p>
    <w:p>
      <w:pPr>
        <w:keepLines/>
        <w:spacing w:after="120" w:line="264"/>
        <w:jc w:val="both"/>
      </w:pPr>
      <w:r>
        <w:rPr>
          <w:rFonts w:ascii="Calibri" w:cs="Calibri" w:eastAsia="Calibri" w:hAnsi="Calibri"/>
          <w:sz w:val="22"/>
          <w:szCs w:val="22"/>
        </w:rPr>
        <w:t xml:space="preserve">Installment 2 — due October 30, 2026; opening principal ₱110,000.00; 30 days; principal ₱10,000.00; interest ₱1,084.93; total payment ₱11,084.93; closing principal ₱100,000.00.</w:t>
      </w:r>
    </w:p>
    <w:p>
      <w:pPr>
        <w:keepLines/>
        <w:spacing w:after="120" w:line="264"/>
        <w:jc w:val="both"/>
      </w:pPr>
      <w:r>
        <w:rPr>
          <w:rFonts w:ascii="Calibri" w:cs="Calibri" w:eastAsia="Calibri" w:hAnsi="Calibri"/>
          <w:sz w:val="22"/>
          <w:szCs w:val="22"/>
        </w:rPr>
        <w:t xml:space="preserve">Installment 3 — due November 30, 2026; opening principal ₱100,000.00; 31 days; principal ₱10,000.00; interest ₱1,019.18; total payment ₱11,019.18; closing principal ₱90,000.00.</w:t>
      </w:r>
    </w:p>
    <w:p>
      <w:pPr>
        <w:keepLines/>
        <w:spacing w:after="120" w:line="264"/>
        <w:jc w:val="both"/>
      </w:pPr>
      <w:r>
        <w:rPr>
          <w:rFonts w:ascii="Calibri" w:cs="Calibri" w:eastAsia="Calibri" w:hAnsi="Calibri"/>
          <w:sz w:val="22"/>
          <w:szCs w:val="22"/>
        </w:rPr>
        <w:t xml:space="preserve">Installment 4 — due December 30, 2026; opening principal ₱90,000.00; 30 days; principal ₱10,000.00; interest ₱887.67; total payment ₱10,887.67; closing principal ₱80,000.00.</w:t>
      </w:r>
    </w:p>
    <w:p>
      <w:pPr>
        <w:keepLines/>
        <w:spacing w:after="120" w:line="264"/>
        <w:jc w:val="both"/>
      </w:pPr>
      <w:r>
        <w:rPr>
          <w:rFonts w:ascii="Calibri" w:cs="Calibri" w:eastAsia="Calibri" w:hAnsi="Calibri"/>
          <w:sz w:val="22"/>
          <w:szCs w:val="22"/>
        </w:rPr>
        <w:t xml:space="preserve">Installment 5 — due January 30, 2027; opening principal ₱80,000.00; 31 days; principal ₱10,000.00; interest ₱815.34; total payment ₱10,815.34; closing principal ₱70,000.00.</w:t>
      </w:r>
    </w:p>
    <w:p>
      <w:pPr>
        <w:keepLines/>
        <w:spacing w:after="120" w:line="264"/>
        <w:jc w:val="both"/>
      </w:pPr>
      <w:r>
        <w:rPr>
          <w:rFonts w:ascii="Calibri" w:cs="Calibri" w:eastAsia="Calibri" w:hAnsi="Calibri"/>
          <w:sz w:val="22"/>
          <w:szCs w:val="22"/>
        </w:rPr>
        <w:t xml:space="preserve">Installment 6 — due February 28, 2027; opening principal ₱70,000.00; 29 days; principal ₱10,000.00; interest ₱667.40; total payment ₱10,667.40; closing principal ₱60,000.00.</w:t>
      </w:r>
    </w:p>
    <w:p>
      <w:pPr>
        <w:keepLines/>
        <w:spacing w:after="120" w:line="264"/>
        <w:jc w:val="both"/>
      </w:pPr>
      <w:r>
        <w:rPr>
          <w:rFonts w:ascii="Calibri" w:cs="Calibri" w:eastAsia="Calibri" w:hAnsi="Calibri"/>
          <w:sz w:val="22"/>
          <w:szCs w:val="22"/>
        </w:rPr>
        <w:t xml:space="preserve">Installment 7 — due March 30, 2027; opening principal ₱60,000.00; 30 days; principal ₱10,000.00; interest ₱591.78; total payment ₱10,591.78; closing principal ₱50,000.00.</w:t>
      </w:r>
    </w:p>
    <w:p>
      <w:pPr>
        <w:keepLines/>
        <w:spacing w:after="120" w:line="264"/>
        <w:jc w:val="both"/>
      </w:pPr>
      <w:r>
        <w:rPr>
          <w:rFonts w:ascii="Calibri" w:cs="Calibri" w:eastAsia="Calibri" w:hAnsi="Calibri"/>
          <w:sz w:val="22"/>
          <w:szCs w:val="22"/>
        </w:rPr>
        <w:t xml:space="preserve">Installment 8 — due April 30, 2027; opening principal ₱50,000.00; 31 days; principal ₱10,000.00; interest ₱509.59; total payment ₱10,509.59; closing principal ₱40,000.00.</w:t>
      </w:r>
    </w:p>
    <w:p>
      <w:pPr>
        <w:keepLines/>
        <w:spacing w:after="120" w:line="264"/>
        <w:jc w:val="both"/>
      </w:pPr>
      <w:r>
        <w:rPr>
          <w:rFonts w:ascii="Calibri" w:cs="Calibri" w:eastAsia="Calibri" w:hAnsi="Calibri"/>
          <w:sz w:val="22"/>
          <w:szCs w:val="22"/>
        </w:rPr>
        <w:t xml:space="preserve">Installment 9 — due May 30, 2027; opening principal ₱40,000.00; 30 days; principal ₱10,000.00; interest ₱394.52; total payment ₱10,394.52; closing principal ₱30,000.00.</w:t>
      </w:r>
    </w:p>
    <w:p>
      <w:pPr>
        <w:keepLines/>
        <w:spacing w:after="120" w:line="264"/>
        <w:jc w:val="both"/>
      </w:pPr>
      <w:r>
        <w:rPr>
          <w:rFonts w:ascii="Calibri" w:cs="Calibri" w:eastAsia="Calibri" w:hAnsi="Calibri"/>
          <w:sz w:val="22"/>
          <w:szCs w:val="22"/>
        </w:rPr>
        <w:t xml:space="preserve">Installment 10 — due June 30, 2027; opening principal ₱30,000.00; 31 days; principal ₱10,000.00; interest ₱305.75; total payment ₱10,305.75; closing principal ₱20,000.00.</w:t>
      </w:r>
    </w:p>
    <w:p>
      <w:pPr>
        <w:keepLines/>
        <w:spacing w:after="120" w:line="264"/>
        <w:jc w:val="both"/>
      </w:pPr>
      <w:r>
        <w:rPr>
          <w:rFonts w:ascii="Calibri" w:cs="Calibri" w:eastAsia="Calibri" w:hAnsi="Calibri"/>
          <w:sz w:val="22"/>
          <w:szCs w:val="22"/>
        </w:rPr>
        <w:t xml:space="preserve">Installment 11 — due July 30, 2027; opening principal ₱20,000.00; 30 days; principal ₱10,000.00; interest ₱197.26; total payment ₱10,197.26; closing principal ₱10,000.00.</w:t>
      </w:r>
    </w:p>
    <w:p>
      <w:pPr>
        <w:keepLines/>
        <w:spacing w:after="120" w:line="264"/>
        <w:jc w:val="both"/>
      </w:pPr>
      <w:r>
        <w:rPr>
          <w:rFonts w:ascii="Calibri" w:cs="Calibri" w:eastAsia="Calibri" w:hAnsi="Calibri"/>
          <w:sz w:val="22"/>
          <w:szCs w:val="22"/>
        </w:rPr>
        <w:t xml:space="preserve">Installment 12 — due August 30, 2027; opening principal ₱10,000.00; 31 days; principal ₱10,000.00; interest ₱101.92; total payment ₱10,101.92; closing principal ₱0.00.</w:t>
      </w:r>
    </w:p>
    <w:p>
      <w:pPr>
        <w:keepLines/>
        <w:spacing w:after="120" w:line="264"/>
        <w:jc w:val="both"/>
      </w:pPr>
      <w:r>
        <w:rPr>
          <w:rFonts w:ascii="Calibri" w:cs="Calibri" w:eastAsia="Calibri" w:hAnsi="Calibri"/>
          <w:sz w:val="22"/>
          <w:szCs w:val="22"/>
        </w:rPr>
        <w:t xml:space="preserve">If a due date falls on a day when the agreed payment channel cannot receive or settle funds, payment may be made on the next day that channel is available without changing later schedule dates, unless the delay resulted from the Borrower's failure to arrange a timely available method.</w:t>
      </w:r>
    </w:p>
    <w:p>
      <w:pPr>
        <w:pStyle w:val="Heading2"/>
        <w:keepNext/>
        <w:spacing w:after="120" w:before="240"/>
      </w:pPr>
      <w:r>
        <w:rPr>
          <w:rFonts w:ascii="Calibri" w:cs="Calibri" w:eastAsia="Calibri" w:hAnsi="Calibri"/>
          <w:b/>
          <w:bCs/>
          <w:color w:val="102B3F"/>
          <w:sz w:val="26"/>
          <w:szCs w:val="26"/>
        </w:rPr>
        <w:t xml:space="preserve">4. Prepayment</w:t>
      </w:r>
    </w:p>
    <w:p>
      <w:pPr>
        <w:keepLines/>
        <w:spacing w:after="120" w:line="264"/>
        <w:jc w:val="both"/>
      </w:pPr>
      <w:r>
        <w:rPr>
          <w:rFonts w:ascii="Calibri" w:cs="Calibri" w:eastAsia="Calibri" w:hAnsi="Calibri"/>
          <w:sz w:val="22"/>
          <w:szCs w:val="22"/>
        </w:rPr>
        <w:t xml:space="preserve">The Borrower may prepay all or part of the outstanding principal without premium or penalty after 3 calendar days' advance written notice. A prepayment includes accrued conventional interest only through the actual prepayment date and is applied to accrued interest first and then principal.</w:t>
      </w:r>
    </w:p>
    <w:p>
      <w:pPr>
        <w:keepLines/>
        <w:spacing w:after="120" w:line="264"/>
        <w:jc w:val="both"/>
      </w:pPr>
      <w:r>
        <w:rPr>
          <w:rFonts w:ascii="Calibri" w:cs="Calibri" w:eastAsia="Calibri" w:hAnsi="Calibri"/>
          <w:sz w:val="22"/>
          <w:szCs w:val="22"/>
        </w:rPr>
        <w:t xml:space="preserve">A partial prepayment reduces the outstanding principal and future reducing-balance interest. Unless the parties sign a revised schedule, it shortens the remaining term by satisfying installments from the end while scheduled payment dates and ordinary principal amounts continue. The Lender shall provide a written payoff or updated balance statement on reasonable request.</w:t>
      </w:r>
    </w:p>
    <w:p>
      <w:pPr>
        <w:pStyle w:val="Heading2"/>
        <w:keepNext/>
        <w:spacing w:after="120" w:before="240"/>
      </w:pPr>
      <w:r>
        <w:rPr>
          <w:rFonts w:ascii="Calibri" w:cs="Calibri" w:eastAsia="Calibri" w:hAnsi="Calibri"/>
          <w:b/>
          <w:bCs/>
          <w:color w:val="102B3F"/>
          <w:sz w:val="26"/>
          <w:szCs w:val="26"/>
        </w:rPr>
        <w:t xml:space="preserve">5. Late payment and default interest</w:t>
      </w:r>
    </w:p>
    <w:p>
      <w:pPr>
        <w:keepLines/>
        <w:spacing w:after="120" w:line="264"/>
        <w:jc w:val="both"/>
      </w:pPr>
      <w:r>
        <w:rPr>
          <w:rFonts w:ascii="Calibri" w:cs="Calibri" w:eastAsia="Calibri" w:hAnsi="Calibri"/>
          <w:sz w:val="22"/>
          <w:szCs w:val="22"/>
        </w:rPr>
        <w:t xml:space="preserve">A scheduled amount has a grace period of 3 calendar days. The grace period postpones default consequences but does not change the original due date or ordinary interest calculation.</w:t>
      </w:r>
    </w:p>
    <w:p>
      <w:pPr>
        <w:keepLines/>
        <w:spacing w:after="120" w:line="264"/>
        <w:jc w:val="both"/>
      </w:pPr>
      <w:r>
        <w:rPr>
          <w:rFonts w:ascii="Calibri" w:cs="Calibri" w:eastAsia="Calibri" w:hAnsi="Calibri"/>
          <w:sz w:val="22"/>
          <w:szCs w:val="22"/>
        </w:rPr>
        <w:t xml:space="preserve">After the grace period and written demand, only the past-due principal bears simple late interest at 6% per year until paid, computed by actual days over 365. Late interest is separate from conventional interest, is not capitalized, does not itself earn interest by agreement, and does not apply to a specific amount disputed in good faith while the Borrower promptly works to resolve it. Any rate or resulting charge remains subject to mandatory law and equitable reduction if unconscionable.</w:t>
      </w:r>
    </w:p>
    <w:p>
      <w:pPr>
        <w:keepLines/>
        <w:spacing w:after="120" w:line="264"/>
        <w:jc w:val="both"/>
      </w:pPr>
      <w:r>
        <w:rPr>
          <w:rFonts w:ascii="Calibri" w:cs="Calibri" w:eastAsia="Calibri" w:hAnsi="Calibri"/>
          <w:sz w:val="22"/>
          <w:szCs w:val="22"/>
        </w:rPr>
        <w:t xml:space="preserve">No administrative, collection, reminder, dishonor, extension, or similar fee is owed unless later required by law or stated in a separate written agreement supported by actual, reasonable cost and lawful consideration.</w:t>
      </w:r>
    </w:p>
    <w:p>
      <w:pPr>
        <w:pStyle w:val="Heading2"/>
        <w:keepNext/>
        <w:spacing w:after="120" w:before="240"/>
      </w:pPr>
      <w:r>
        <w:rPr>
          <w:rFonts w:ascii="Calibri" w:cs="Calibri" w:eastAsia="Calibri" w:hAnsi="Calibri"/>
          <w:b/>
          <w:bCs/>
          <w:color w:val="102B3F"/>
          <w:sz w:val="26"/>
          <w:szCs w:val="26"/>
        </w:rPr>
        <w:t xml:space="preserve">6. Events of default, cure, and acceleration</w:t>
      </w:r>
    </w:p>
    <w:p>
      <w:pPr>
        <w:keepLines/>
        <w:spacing w:after="120" w:line="264"/>
        <w:jc w:val="both"/>
      </w:pPr>
      <w:r>
        <w:rPr>
          <w:rFonts w:ascii="Calibri" w:cs="Calibri" w:eastAsia="Calibri" w:hAnsi="Calibri"/>
          <w:sz w:val="22"/>
          <w:szCs w:val="22"/>
        </w:rPr>
        <w:t xml:space="preserve">An Event of Default occurs if the Borrower (a) fails to pay a due amount and does not cure within 10 calendar days after receiving a written notice identifying the missed amount; (b) makes a materially false representation that induced this loan and does not cure the effect where cure is reasonably possible; (c) uses the loan for an unlawful purpose; or (d) for a secured loan, materially disposes of, conceals, or impairs collateral contrary to this Agreement and fails to cure after notice where cure is possible. Insolvency alone triggers only the remedies permitted by mandatory insolvency law.</w:t>
      </w:r>
    </w:p>
    <w:p>
      <w:pPr>
        <w:keepLines/>
        <w:spacing w:after="120" w:line="264"/>
        <w:jc w:val="both"/>
      </w:pPr>
      <w:r>
        <w:rPr>
          <w:rFonts w:ascii="Calibri" w:cs="Calibri" w:eastAsia="Calibri" w:hAnsi="Calibri"/>
          <w:sz w:val="22"/>
          <w:szCs w:val="22"/>
        </w:rPr>
        <w:t xml:space="preserve">After an uncured Event of Default, the Lender may give a written acceleration notice making the outstanding principal, accrued conventional interest through acceleration, and lawful accrued late interest immediately due. Acceleration is not automatic. The notice must state the calculation and available cure or dispute channel. Acceptance of a partial or late payment does not waive a later breach unless the Lender expressly waives it in writing.</w:t>
      </w:r>
    </w:p>
    <w:p>
      <w:pPr>
        <w:pStyle w:val="Heading2"/>
        <w:keepNext/>
        <w:spacing w:after="120" w:before="240"/>
      </w:pPr>
      <w:r>
        <w:rPr>
          <w:rFonts w:ascii="Calibri" w:cs="Calibri" w:eastAsia="Calibri" w:hAnsi="Calibri"/>
          <w:b/>
          <w:bCs/>
          <w:color w:val="102B3F"/>
          <w:sz w:val="26"/>
          <w:szCs w:val="26"/>
        </w:rPr>
        <w:t xml:space="preserve">7. Costs and lawful remedies</w:t>
      </w:r>
    </w:p>
    <w:p>
      <w:pPr>
        <w:keepLines/>
        <w:spacing w:after="120" w:line="264"/>
        <w:jc w:val="both"/>
      </w:pPr>
      <w:r>
        <w:rPr>
          <w:rFonts w:ascii="Calibri" w:cs="Calibri" w:eastAsia="Calibri" w:hAnsi="Calibri"/>
          <w:sz w:val="22"/>
          <w:szCs w:val="22"/>
        </w:rPr>
        <w:t xml:space="preserve">Each party bears its own ordinary administration costs. Following an uncured Event of Default, the Borrower is liable only for reasonable and documented enforcement costs to the extent recoverable under Article 2208 of the Civil Code, applicable procedure, and a court's assessment. No percentage attorney's fee is automatically imposed by this Agreement.</w:t>
      </w:r>
    </w:p>
    <w:p>
      <w:pPr>
        <w:keepLines/>
        <w:spacing w:after="120" w:line="264"/>
        <w:jc w:val="both"/>
      </w:pPr>
      <w:r>
        <w:rPr>
          <w:rFonts w:ascii="Calibri" w:cs="Calibri" w:eastAsia="Calibri" w:hAnsi="Calibri"/>
          <w:sz w:val="22"/>
          <w:szCs w:val="22"/>
        </w:rPr>
        <w:t xml:space="preserve">The Lender shall use only lawful collection methods and shall not harass, threaten, publicly shame, misrepresent legal consequences, or disclose the debt without a lawful basis. Every remedy remains subject to notice, due process, privacy, insolvency, consumer-protection, and other mandatory rules that actually apply.</w:t>
      </w:r>
    </w:p>
    <w:p>
      <w:pPr>
        <w:pStyle w:val="Heading2"/>
        <w:keepNext/>
        <w:spacing w:after="120" w:before="240"/>
      </w:pPr>
      <w:r>
        <w:rPr>
          <w:rFonts w:ascii="Calibri" w:cs="Calibri" w:eastAsia="Calibri" w:hAnsi="Calibri"/>
          <w:b/>
          <w:bCs/>
          <w:color w:val="102B3F"/>
          <w:sz w:val="26"/>
          <w:szCs w:val="26"/>
        </w:rPr>
        <w:t xml:space="preserve">8. Unsecured obligation</w:t>
      </w:r>
    </w:p>
    <w:p>
      <w:pPr>
        <w:keepLines/>
        <w:spacing w:after="120" w:line="264"/>
        <w:jc w:val="both"/>
      </w:pPr>
      <w:r>
        <w:rPr>
          <w:rFonts w:ascii="Calibri" w:cs="Calibri" w:eastAsia="Calibri" w:hAnsi="Calibri"/>
          <w:sz w:val="22"/>
          <w:szCs w:val="22"/>
        </w:rPr>
        <w:t xml:space="preserve">This is an unsecured loan. The Borrower does not grant a mortgage, pledge, security interest, assignment by way of security, or lien over any specific property under this Agreement. The Lender relies on the Borrower's personal or entity obligation and lawful ordinary remedies.</w:t>
      </w:r>
    </w:p>
    <w:p>
      <w:pPr>
        <w:pStyle w:val="Heading2"/>
        <w:keepNext/>
        <w:spacing w:after="120" w:before="240"/>
      </w:pPr>
      <w:r>
        <w:rPr>
          <w:rFonts w:ascii="Calibri" w:cs="Calibri" w:eastAsia="Calibri" w:hAnsi="Calibri"/>
          <w:b/>
          <w:bCs/>
          <w:color w:val="102B3F"/>
          <w:sz w:val="26"/>
          <w:szCs w:val="26"/>
        </w:rPr>
        <w:t xml:space="preserve">9. Representations</w:t>
      </w:r>
    </w:p>
    <w:p>
      <w:pPr>
        <w:keepLines/>
        <w:spacing w:after="120" w:line="264"/>
        <w:jc w:val="both"/>
      </w:pPr>
      <w:r>
        <w:rPr>
          <w:rFonts w:ascii="Calibri" w:cs="Calibri" w:eastAsia="Calibri" w:hAnsi="Calibri"/>
          <w:sz w:val="22"/>
          <w:szCs w:val="22"/>
        </w:rPr>
        <w:t xml:space="preserve">Each party represents that it has legal capacity and authority to sign and perform this Agreement, has had an opportunity to read the complete schedule and obtain independent advice, and is not relying on an unstated promise. Each entity signatory represents that appropriate internal authority has been obtained.</w:t>
      </w:r>
    </w:p>
    <w:p>
      <w:pPr>
        <w:keepLines/>
        <w:spacing w:after="120" w:line="264"/>
        <w:jc w:val="both"/>
      </w:pPr>
      <w:r>
        <w:rPr>
          <w:rFonts w:ascii="Calibri" w:cs="Calibri" w:eastAsia="Calibri" w:hAnsi="Calibri"/>
          <w:sz w:val="22"/>
          <w:szCs w:val="22"/>
        </w:rPr>
        <w:t xml:space="preserve">The Borrower represents that the information supplied about identity, purpose, repayment, and any collateral is materially accurate. The Lender represents that the funds are lawfully available and that it is not using this private-loan template to conduct a lending business requiring registration or a sector-specific license.</w:t>
      </w:r>
    </w:p>
    <w:p>
      <w:pPr>
        <w:pStyle w:val="Heading2"/>
        <w:keepNext/>
        <w:spacing w:after="120" w:before="240"/>
      </w:pPr>
      <w:r>
        <w:rPr>
          <w:rFonts w:ascii="Calibri" w:cs="Calibri" w:eastAsia="Calibri" w:hAnsi="Calibri"/>
          <w:b/>
          <w:bCs/>
          <w:color w:val="102B3F"/>
          <w:sz w:val="26"/>
          <w:szCs w:val="26"/>
        </w:rPr>
        <w:t xml:space="preserve">10. Taxes and documentary records</w:t>
      </w:r>
    </w:p>
    <w:p>
      <w:pPr>
        <w:keepLines/>
        <w:spacing w:after="120" w:line="264"/>
        <w:jc w:val="both"/>
      </w:pPr>
      <w:r>
        <w:rPr>
          <w:rFonts w:ascii="Calibri" w:cs="Calibri" w:eastAsia="Calibri" w:hAnsi="Calibri"/>
          <w:sz w:val="22"/>
          <w:szCs w:val="22"/>
        </w:rPr>
        <w:t xml:space="preserve">The Borrower shall pay the documentary stamp tax on this Agreement, currently 0.75% of the principal under Section 179 of the National Internal Revenue Code as amended by Republic Act No. 12214 (prorated by the number of days over 365 if the term is less than one year), file the return and pay the tax by the deadline under current BIR rules, and give the other party proof of payment. One documentary stamp tax covers this Agreement, its promissory note, and any security interest issued for the same loan. This allocation binds only the parties; each person who signs or accepts this instrument remains liable to the government under Section 173. Under Section 201, an instrument that is not duly stamped cannot be recorded or admitted or used in evidence in any court until the tax is paid. Payment of a tax does not validate an otherwise unlawful term.</w:t>
      </w:r>
    </w:p>
    <w:p>
      <w:pPr>
        <w:keepLines/>
        <w:spacing w:after="120" w:line="264"/>
        <w:jc w:val="both"/>
      </w:pPr>
      <w:r>
        <w:rPr>
          <w:rFonts w:ascii="Calibri" w:cs="Calibri" w:eastAsia="Calibri" w:hAnsi="Calibri"/>
          <w:sz w:val="22"/>
          <w:szCs w:val="22"/>
        </w:rPr>
        <w:t xml:space="preserve">The Lender shall maintain a transaction ledger showing disbursement, each payment's date and application, accrued interest, prepayments, adjustments, and balance. On reasonable request and after final payment, the Lender shall provide a written statement of account and acknowledgment of satisfaction.</w:t>
      </w:r>
    </w:p>
    <w:p>
      <w:pPr>
        <w:pStyle w:val="Heading2"/>
        <w:keepNext/>
        <w:spacing w:after="120" w:before="240"/>
      </w:pPr>
      <w:r>
        <w:rPr>
          <w:rFonts w:ascii="Calibri" w:cs="Calibri" w:eastAsia="Calibri" w:hAnsi="Calibri"/>
          <w:b/>
          <w:bCs/>
          <w:color w:val="102B3F"/>
          <w:sz w:val="26"/>
          <w:szCs w:val="26"/>
        </w:rPr>
        <w:t xml:space="preserve">11. Notices</w:t>
      </w:r>
    </w:p>
    <w:p>
      <w:pPr>
        <w:keepLines/>
        <w:spacing w:after="120" w:line="264"/>
        <w:jc w:val="both"/>
      </w:pPr>
      <w:r>
        <w:rPr>
          <w:rFonts w:ascii="Calibri" w:cs="Calibri" w:eastAsia="Calibri" w:hAnsi="Calibri"/>
          <w:sz w:val="22"/>
          <w:szCs w:val="22"/>
        </w:rPr>
        <w:t xml:space="preserve">Every demand, default, acceleration, payoff, amendment, or other formal notice must be in writing and delivered personally, by reputable courier, or by email with evidence of transmission and receipt. Lender notices go to 100 Ayala Avenue, Makati City 1226; Borrower notices go to 20 Kalayaan Avenue, Quezon City 1100, or to replacement details designated in writing.</w:t>
      </w:r>
    </w:p>
    <w:p>
      <w:pPr>
        <w:pStyle w:val="Heading2"/>
        <w:keepNext/>
        <w:spacing w:after="120" w:before="240"/>
      </w:pPr>
      <w:r>
        <w:rPr>
          <w:rFonts w:ascii="Calibri" w:cs="Calibri" w:eastAsia="Calibri" w:hAnsi="Calibri"/>
          <w:b/>
          <w:bCs/>
          <w:color w:val="102B3F"/>
          <w:sz w:val="26"/>
          <w:szCs w:val="26"/>
        </w:rPr>
        <w:t xml:space="preserve">12. Governing law and disputes</w:t>
      </w:r>
    </w:p>
    <w:p>
      <w:pPr>
        <w:keepLines/>
        <w:spacing w:after="120" w:line="264"/>
        <w:jc w:val="both"/>
      </w:pPr>
      <w:r>
        <w:rPr>
          <w:rFonts w:ascii="Calibri" w:cs="Calibri" w:eastAsia="Calibri" w:hAnsi="Calibri"/>
          <w:sz w:val="22"/>
          <w:szCs w:val="22"/>
        </w:rPr>
        <w:t xml:space="preserve">This Agreement is governed by the laws of the Republic of the Philippines. Before filing an ordinary civil action, the parties shall meet in good faith within ten calendar days after a written dispute notice unless urgent provisional relief, a valid acceleration, collateral preservation, or a prescriptive period requires earlier action. Subject to mandatory jurisdiction, barangay conciliation, and small-claims rules, any action arising from this Agreement shall be filed exclusively in the proper courts of Makati City, to the exclusion of all other courts.</w:t>
      </w:r>
    </w:p>
    <w:p>
      <w:pPr>
        <w:pStyle w:val="Heading2"/>
        <w:keepNext/>
        <w:spacing w:after="120" w:before="240"/>
      </w:pPr>
      <w:r>
        <w:rPr>
          <w:rFonts w:ascii="Calibri" w:cs="Calibri" w:eastAsia="Calibri" w:hAnsi="Calibri"/>
          <w:b/>
          <w:bCs/>
          <w:color w:val="102B3F"/>
          <w:sz w:val="26"/>
          <w:szCs w:val="26"/>
        </w:rPr>
        <w:t xml:space="preserve">13. General terms</w:t>
      </w:r>
    </w:p>
    <w:p>
      <w:pPr>
        <w:keepLines/>
        <w:spacing w:after="120" w:line="264"/>
        <w:jc w:val="both"/>
      </w:pPr>
      <w:r>
        <w:rPr>
          <w:rFonts w:ascii="Calibri" w:cs="Calibri" w:eastAsia="Calibri" w:hAnsi="Calibri"/>
          <w:sz w:val="22"/>
          <w:szCs w:val="22"/>
        </w:rPr>
        <w:t xml:space="preserve">This Agreement, its repayment schedule, signed amendments, and any identified collateral schedule are the entire agreement about this loan. An amendment or waiver must be in writing and signed by the affected parties. The Borrower may not assign the debt without the Lender's written consent. The Lender may assign only with written notice and subject to every defense and restriction applicable by law. If a provision is unenforceable, it shall be limited to the minimum lawful extent and the remainder continues.</w:t>
      </w:r>
    </w:p>
    <w:p>
      <w:pPr>
        <w:pStyle w:val="Heading2"/>
        <w:keepNext/>
        <w:spacing w:after="120" w:before="240"/>
      </w:pPr>
      <w:r>
        <w:rPr>
          <w:rFonts w:ascii="Calibri" w:cs="Calibri" w:eastAsia="Calibri" w:hAnsi="Calibri"/>
          <w:b/>
          <w:bCs/>
          <w:color w:val="102B3F"/>
          <w:sz w:val="26"/>
          <w:szCs w:val="26"/>
        </w:rPr>
        <w:t xml:space="preserve">14. Counterparts and electronic signatures</w:t>
      </w:r>
    </w:p>
    <w:p>
      <w:pPr>
        <w:keepLines/>
        <w:spacing w:after="120" w:line="264"/>
        <w:jc w:val="both"/>
      </w:pPr>
      <w:r>
        <w:rPr>
          <w:rFonts w:ascii="Calibri" w:cs="Calibri" w:eastAsia="Calibri" w:hAnsi="Calibri"/>
          <w:sz w:val="22"/>
          <w:szCs w:val="22"/>
        </w:rPr>
        <w:t xml:space="preserve">The parties may sign in counterparts. Subject to Republic Act No. 8792 and applicable evidentiary rules, a reliable electronic signature and electronic copy may satisfy writing and signature requirements. Each party shall retain the final document and evidence of signer identity, intent, document integrity, and the signing event.</w:t>
      </w:r>
    </w:p>
    <w:p>
      <w:pPr>
        <w:keepNext/>
        <w:spacing w:after="260" w:before="360"/>
      </w:pPr>
      <w:r>
        <w:rPr>
          <w:rFonts w:ascii="Calibri" w:cs="Calibri" w:eastAsia="Calibri" w:hAnsi="Calibri"/>
          <w:b/>
          <w:bCs/>
          <w:sz w:val="22"/>
          <w:szCs w:val="22"/>
        </w:rPr>
        <w:t xml:space="preserve">IN WITNESS WHEREOF, the parties sign this document on the dates written below.</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Maria L. Santos</w:t>
            </w:r>
          </w:p>
          <w:p>
            <w:pPr>
              <w:spacing w:after="120"/>
            </w:pPr>
            <w:r>
              <w:rPr>
                <w:rFonts w:ascii="Calibri" w:cs="Calibri" w:eastAsia="Calibri" w:hAnsi="Calibri"/>
                <w:sz w:val="22"/>
                <w:szCs w:val="22"/>
              </w:rPr>
              <w:t xml:space="preserve">Signature: ______________________________</w:t>
            </w:r>
          </w:p>
          <w:p>
            <w:pPr>
              <w:spacing w:after="120"/>
            </w:pPr>
            <w:r>
              <w:rPr>
                <w:rFonts w:ascii="Calibri" w:cs="Calibri" w:eastAsia="Calibri" w:hAnsi="Calibri"/>
                <w:sz w:val="22"/>
                <w:szCs w:val="22"/>
              </w:rPr>
              <w:t xml:space="preserve">Lender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Juan Dela Cruz</w:t>
            </w:r>
          </w:p>
          <w:p>
            <w:pPr>
              <w:spacing w:after="120"/>
            </w:pPr>
            <w:r>
              <w:rPr>
                <w:rFonts w:ascii="Calibri" w:cs="Calibri" w:eastAsia="Calibri" w:hAnsi="Calibri"/>
                <w:sz w:val="22"/>
                <w:szCs w:val="22"/>
              </w:rPr>
              <w:t xml:space="preserve">Signature: ______________________________</w:t>
            </w:r>
          </w:p>
          <w:p>
            <w:pPr>
              <w:spacing w:after="120"/>
            </w:pPr>
            <w:r>
              <w:rPr>
                <w:rFonts w:ascii="Calibri" w:cs="Calibri" w:eastAsia="Calibri" w:hAnsi="Calibri"/>
                <w:sz w:val="22"/>
                <w:szCs w:val="22"/>
              </w:rPr>
              <w:t xml:space="preserve">Borrower</w:t>
            </w:r>
          </w:p>
          <w:p>
            <w:r>
              <w:rPr>
                <w:rFonts w:ascii="Calibri" w:cs="Calibri" w:eastAsia="Calibri" w:hAnsi="Calibri"/>
                <w:sz w:val="22"/>
                <w:szCs w:val="22"/>
              </w:rPr>
              <w:t xml:space="preserve">Date: ______________________________</w:t>
            </w:r>
          </w:p>
        </w:tc>
      </w:tr>
    </w:tbl>
    <w:p>
      <w:pPr>
        <w:pStyle w:val="Heading2"/>
        <w:keepNext/>
        <w:spacing w:after="120" w:before="240"/>
      </w:pPr>
      <w:r>
        <w:rPr>
          <w:rFonts w:ascii="Calibri" w:cs="Calibri" w:eastAsia="Calibri" w:hAnsi="Calibri"/>
          <w:b/>
          <w:bCs/>
          <w:color w:val="102B3F"/>
          <w:sz w:val="26"/>
          <w:szCs w:val="26"/>
        </w:rPr>
        <w:t xml:space="preserve">ACKNOWLEDGMENT — FOR THE NOTARY PUBLIC TO COMPLETE</w:t>
      </w:r>
    </w:p>
    <w:p>
      <w:pPr>
        <w:keepLines/>
        <w:spacing w:after="120" w:line="264"/>
        <w:jc w:val="both"/>
      </w:pPr>
      <w:r>
        <w:rPr>
          <w:rFonts w:ascii="Calibri" w:cs="Calibri" w:eastAsia="Calibri" w:hAnsi="Calibri"/>
          <w:sz w:val="22"/>
          <w:szCs w:val="22"/>
        </w:rPr>
        <w:t xml:space="preserve">REPUBLIC OF THE PHILIPPINES )
__________________________ ) S.S.</w:t>
      </w:r>
    </w:p>
    <w:p>
      <w:pPr>
        <w:keepLines/>
        <w:spacing w:after="120" w:line="264"/>
        <w:jc w:val="both"/>
      </w:pPr>
      <w:r>
        <w:rPr>
          <w:rFonts w:ascii="Calibri" w:cs="Calibri" w:eastAsia="Calibri" w:hAnsi="Calibri"/>
          <w:sz w:val="22"/>
          <w:szCs w:val="22"/>
        </w:rPr>
        <w:t xml:space="preserve">BEFORE ME, a Notary Public for and in the above jurisdiction, on __________________, personally appeared the following, each identified through competent evidence of identity: Maria L. Santos — ID type and No. __________________, issued at and on __________________, valid until __________________; Juan Dela Cruz — ID type and No. __________________, issued at and on __________________, valid until __________________. They are known to me to be the same persons who executed the foregoing Loan Agreement and Promissory Note, consisting of ____ (__) pages including this page, and they acknowledged that it is their free and voluntary act and deed.</w:t>
      </w:r>
    </w:p>
    <w:p>
      <w:pPr>
        <w:keepLines/>
        <w:spacing w:after="120" w:line="264"/>
        <w:jc w:val="both"/>
      </w:pPr>
      <w:r>
        <w:rPr>
          <w:rFonts w:ascii="Calibri" w:cs="Calibri" w:eastAsia="Calibri" w:hAnsi="Calibri"/>
          <w:sz w:val="22"/>
          <w:szCs w:val="22"/>
        </w:rPr>
        <w:t xml:space="preserve">WITNESS MY HAND AND SEAL on the date and at the place first written above.</w:t>
      </w:r>
    </w:p>
    <w:p>
      <w:pPr>
        <w:keepLines/>
        <w:spacing w:after="120" w:line="264"/>
        <w:jc w:val="both"/>
      </w:pPr>
      <w:r>
        <w:rPr>
          <w:rFonts w:ascii="Calibri" w:cs="Calibri" w:eastAsia="Calibri" w:hAnsi="Calibri"/>
          <w:sz w:val="22"/>
          <w:szCs w:val="22"/>
        </w:rPr>
        <w:t xml:space="preserve">NOTARY PUBLIC
Notary Public for __________________ until December 31, ______
Commission No.: __________________
Roll of Attorneys No.: __________________
PTR No. __________________, issued at and on __________________
IBP No. __________________
Office address: __________________
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Verify government-issued identification, complete legal names, addresses, entity records, signatory authority, and source of funds before signing or disbursement.</w:t>
      </w:r>
    </w:p>
    <w:p>
      <w:pPr>
        <w:pStyle w:val="ListParagraph"/>
        <w:keepNext/>
        <w:numPr>
          <w:ilvl w:val="0"/>
          <w:numId w:val="1"/>
        </w:numPr>
        <w:spacing w:after="120" w:line="264"/>
      </w:pPr>
      <w:r>
        <w:rPr>
          <w:rFonts w:ascii="Calibri" w:cs="Calibri" w:eastAsia="Calibri" w:hAnsi="Calibri"/>
          <w:sz w:val="22"/>
          <w:szCs w:val="22"/>
        </w:rPr>
        <w:t xml:space="preserve">Reconcile the 12-installment schedule: principal ₱120,000.00, disclosed conventional interest ₱7,758.90, total scheduled payments ₱127,758.90, and maturity August 30, 2027.</w:t>
      </w:r>
    </w:p>
    <w:p>
      <w:pPr>
        <w:pStyle w:val="ListParagraph"/>
        <w:keepNext/>
        <w:numPr>
          <w:ilvl w:val="0"/>
          <w:numId w:val="1"/>
        </w:numPr>
        <w:spacing w:after="120" w:line="264"/>
      </w:pPr>
      <w:r>
        <w:rPr>
          <w:rFonts w:ascii="Calibri" w:cs="Calibri" w:eastAsia="Calibri" w:hAnsi="Calibri"/>
          <w:sz w:val="22"/>
          <w:szCs w:val="22"/>
        </w:rPr>
        <w:t xml:space="preserve">Confirm that the selected rates and resulting peso charges remain proportionate to the actual transaction.</w:t>
      </w:r>
    </w:p>
    <w:p>
      <w:pPr>
        <w:pStyle w:val="ListParagraph"/>
        <w:keepNext/>
        <w:numPr>
          <w:ilvl w:val="0"/>
          <w:numId w:val="1"/>
        </w:numPr>
        <w:spacing w:after="120" w:line="264"/>
      </w:pPr>
      <w:r>
        <w:rPr>
          <w:rFonts w:ascii="Calibri" w:cs="Calibri" w:eastAsia="Calibri" w:hAnsi="Calibri"/>
          <w:sz w:val="22"/>
          <w:szCs w:val="22"/>
        </w:rPr>
        <w:t xml:space="preserve">Have a Philippine tax professional or the BIR confirm the documentary stamp tax base, current rate, exemption if any, return, payment deadline, and proof to retain for this exact transaction. Pay it before any court case: an unstamped agreement cannot be used as evidence until the tax is paid (NIRC Sec. 201).</w:t>
      </w:r>
    </w:p>
    <w:p>
      <w:pPr>
        <w:pStyle w:val="ListParagraph"/>
        <w:keepNext/>
        <w:numPr>
          <w:ilvl w:val="0"/>
          <w:numId w:val="1"/>
        </w:numPr>
        <w:spacing w:after="120" w:line="264"/>
      </w:pPr>
      <w:r>
        <w:rPr>
          <w:rFonts w:ascii="Calibri" w:cs="Calibri" w:eastAsia="Calibri" w:hAnsi="Calibri"/>
          <w:sz w:val="22"/>
          <w:szCs w:val="22"/>
        </w:rPr>
        <w:t xml:space="preserve">Do not describe this loan as secured and do not file a collateral notice unless the parties sign a valid security agreement identifying collateral.</w:t>
      </w:r>
    </w:p>
    <w:p>
      <w:pPr>
        <w:pStyle w:val="ListParagraph"/>
        <w:keepNext/>
        <w:numPr>
          <w:ilvl w:val="0"/>
          <w:numId w:val="1"/>
        </w:numPr>
        <w:spacing w:after="120" w:line="264"/>
      </w:pPr>
      <w:r>
        <w:rPr>
          <w:rFonts w:ascii="Calibri" w:cs="Calibri" w:eastAsia="Calibri" w:hAnsi="Calibri"/>
          <w:sz w:val="22"/>
          <w:szCs w:val="22"/>
        </w:rPr>
        <w:t xml:space="preserve">Appear personally before a duly commissioned notary with the complete unsigned or properly pre-signed instrument as the notary directs and valid identification; let the notary complete the acknowledgment and register details.</w:t>
      </w:r>
    </w:p>
    <w:p>
      <w:pPr>
        <w:pStyle w:val="ListParagraph"/>
        <w:keepNext w:val="false"/>
        <w:numPr>
          <w:ilvl w:val="0"/>
          <w:numId w:val="1"/>
        </w:numPr>
        <w:spacing w:after="120" w:line="264"/>
      </w:pPr>
      <w:r>
        <w:rPr>
          <w:rFonts w:ascii="Calibri" w:cs="Calibri" w:eastAsia="Calibri" w:hAnsi="Calibri"/>
          <w:sz w:val="22"/>
          <w:szCs w:val="22"/>
        </w:rPr>
        <w:t xml:space="preserve">Retain identical signed copies, disbursement proof, the original schedule, every receipt and ledger entry, notices and delivery proof, amendments, tax proof, payoff statement, and final acknowledgment of satisfaction.</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2026-08-29 onward, subject to the recorded review cycle | Independent Philippine lawyer review pending | Last legal check 2026-10-01 | Next review due 2027-01-01</w:t>
      </w:r>
    </w:p>
    <w:p>
      <w:pPr>
        <w:keepNext/>
        <w:spacing w:after="60" w:before="100"/>
      </w:pPr>
      <w:r>
        <w:rPr>
          <w:rFonts w:ascii="Calibri" w:cs="Calibri" w:eastAsia="Calibri" w:hAnsi="Calibri"/>
          <w:b/>
          <w:bCs/>
          <w:sz w:val="18"/>
          <w:szCs w:val="18"/>
        </w:rPr>
        <w:t xml:space="preserve">Civil Code of the Philippines (Republic Act No. 386) - Arts. 1159, 1169, 1170, 1226–1230, 1253, 1305–1317, 1933–1961, 2208, and 2212; Article 1956 requires conventional interest to be expressly stipulated in writing (checked 2026-08-29)</w:t>
      </w:r>
    </w:p>
    <w:p>
      <w:pPr>
        <w:spacing w:after="120"/>
      </w:pPr>
      <w:hyperlink w:history="1" r:id="rIdecjbudr_mxpz9kkeshngx">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Lara's Gifts &amp; Decors, Inc. v. Midtown Industrial Sales, Inc., G.R. No. 225433 (En Banc, September 20, 2022) - Current framework for conventional, compensatory, and adjudged interest; 6% legal interest from demand absent stipulation; unconscionable rates remain subject to equitable reduction (checked 2026-10-01)</w:t>
      </w:r>
    </w:p>
    <w:p>
      <w:pPr>
        <w:spacing w:after="120"/>
      </w:pPr>
      <w:hyperlink w:history="1" r:id="rIdykhffjd8dv7v8ru6vbmfo">
        <w:r>
          <w:rPr>
            <w:rFonts w:ascii="Calibri" w:cs="Calibri" w:eastAsia="Calibri" w:hAnsi="Calibri"/>
            <w:color w:val="315B75"/>
            <w:sz w:val="17"/>
            <w:szCs w:val="17"/>
            <w:u w:val="single"/>
          </w:rPr>
          <w:t xml:space="preserve">https://lawphil.net/judjuris/juri2022/sep2022/gr_225433_2022.html</w:t>
        </w:r>
      </w:hyperlink>
    </w:p>
    <w:p>
      <w:pPr>
        <w:keepNext/>
        <w:spacing w:after="60" w:before="100"/>
      </w:pPr>
      <w:r>
        <w:rPr>
          <w:rFonts w:ascii="Calibri" w:cs="Calibri" w:eastAsia="Calibri" w:hAnsi="Calibri"/>
          <w:b/>
          <w:bCs/>
          <w:sz w:val="18"/>
          <w:szCs w:val="18"/>
        </w:rPr>
        <w:t xml:space="preserve">Nacar v. Gallery Frames, G.R. No. 189871 (En Banc, August 13, 2013) - Legal interest of 6% per annum from July 1, 2013 (checked 2026-10-01)</w:t>
      </w:r>
    </w:p>
    <w:p>
      <w:pPr>
        <w:spacing w:after="120"/>
      </w:pPr>
      <w:hyperlink w:history="1" r:id="rIdvj5vvalnb-cpzeg5x2-x0">
        <w:r>
          <w:rPr>
            <w:rFonts w:ascii="Calibri" w:cs="Calibri" w:eastAsia="Calibri" w:hAnsi="Calibri"/>
            <w:color w:val="315B75"/>
            <w:sz w:val="17"/>
            <w:szCs w:val="17"/>
            <w:u w:val="single"/>
          </w:rPr>
          <w:t xml:space="preserve">https://lawphil.net/judjuris/juri2013/aug2013/gr_189871_2013.html</w:t>
        </w:r>
      </w:hyperlink>
    </w:p>
    <w:p>
      <w:pPr>
        <w:keepNext/>
        <w:spacing w:after="60" w:before="100"/>
      </w:pPr>
      <w:r>
        <w:rPr>
          <w:rFonts w:ascii="Calibri" w:cs="Calibri" w:eastAsia="Calibri" w:hAnsi="Calibri"/>
          <w:b/>
          <w:bCs/>
          <w:sz w:val="18"/>
          <w:szCs w:val="18"/>
        </w:rPr>
        <w:t xml:space="preserve">Family Code of the Philippines (Executive Order No. 209) - Arts. 75, 91–93, 96, 103, 109, 116, 124, and 130: property regimes, exclusive property, presumption of community or conjugal property, spouse's written consent to an encumbrance (otherwise void), and liquidation before disposition after the marriage ends (checked 2026-10-01)</w:t>
      </w:r>
    </w:p>
    <w:p>
      <w:pPr>
        <w:spacing w:after="120"/>
      </w:pPr>
      <w:hyperlink w:history="1" r:id="rIdmgbrhdyukng1vg4f8djy9">
        <w:r>
          <w:rPr>
            <w:rFonts w:ascii="Calibri" w:cs="Calibri" w:eastAsia="Calibri" w:hAnsi="Calibri"/>
            <w:color w:val="315B75"/>
            <w:sz w:val="17"/>
            <w:szCs w:val="17"/>
            <w:u w:val="single"/>
          </w:rPr>
          <w:t xml:space="preserve">https://lawphil.net/executive/execord/eo1987/eo_209_1987.html</w:t>
        </w:r>
      </w:hyperlink>
    </w:p>
    <w:p>
      <w:pPr>
        <w:keepNext/>
        <w:spacing w:after="60" w:before="100"/>
      </w:pPr>
      <w:r>
        <w:rPr>
          <w:rFonts w:ascii="Calibri" w:cs="Calibri" w:eastAsia="Calibri" w:hAnsi="Calibri"/>
          <w:b/>
          <w:bCs/>
          <w:sz w:val="18"/>
          <w:szCs w:val="18"/>
        </w:rPr>
        <w:t xml:space="preserve">National Internal Revenue Code of 1997 (Republic Act No. 8424), as amended - Sec. 173 (DST is payable by the person making, signing, issuing, accepting, or transferring the document); Sec. 201 (an unstamped taxable document cannot be recorded or admitted or used in evidence in any court until the stamp is affixed) (checked 2026-10-01)</w:t>
      </w:r>
    </w:p>
    <w:p>
      <w:pPr>
        <w:spacing w:after="120"/>
      </w:pPr>
      <w:hyperlink w:history="1" r:id="rId9w9jcscea7uxnhzm-qhuj">
        <w:r>
          <w:rPr>
            <w:rFonts w:ascii="Calibri" w:cs="Calibri" w:eastAsia="Calibri" w:hAnsi="Calibri"/>
            <w:color w:val="315B75"/>
            <w:sz w:val="17"/>
            <w:szCs w:val="17"/>
            <w:u w:val="single"/>
          </w:rPr>
          <w:t xml:space="preserve">https://lawphil.net/statutes/repacts/ra1997/ra_8424_1997.html</w:t>
        </w:r>
      </w:hyperlink>
    </w:p>
    <w:p>
      <w:pPr>
        <w:keepNext/>
        <w:spacing w:after="60" w:before="100"/>
      </w:pPr>
      <w:r>
        <w:rPr>
          <w:rFonts w:ascii="Calibri" w:cs="Calibri" w:eastAsia="Calibri" w:hAnsi="Calibri"/>
          <w:b/>
          <w:bCs/>
          <w:sz w:val="18"/>
          <w:szCs w:val="18"/>
        </w:rPr>
        <w:t xml:space="preserve">Capital Markets Efficiency Promotion Act (Republic Act No. 12214) - Sec. 21 (new NIRC Sec. 179): DST of 0.75% of the issue price of debt instruments, prorated for terms under one year; one DST on the loan agreement, promissory note, and security interest for the same loan (checked 2026-10-01)</w:t>
      </w:r>
    </w:p>
    <w:p>
      <w:pPr>
        <w:spacing w:after="120"/>
      </w:pPr>
      <w:hyperlink w:history="1" r:id="rIdto47thuaag5j4nswgo1dh">
        <w:r>
          <w:rPr>
            <w:rFonts w:ascii="Calibri" w:cs="Calibri" w:eastAsia="Calibri" w:hAnsi="Calibri"/>
            <w:color w:val="315B75"/>
            <w:sz w:val="17"/>
            <w:szCs w:val="17"/>
            <w:u w:val="single"/>
          </w:rPr>
          <w:t xml:space="preserve">https://lawphil.net/statutes/repacts/ra2025/ra_12214_2025.html</w:t>
        </w:r>
      </w:hyperlink>
    </w:p>
    <w:p>
      <w:pPr>
        <w:keepNext/>
        <w:spacing w:after="60" w:before="100"/>
      </w:pPr>
      <w:r>
        <w:rPr>
          <w:rFonts w:ascii="Calibri" w:cs="Calibri" w:eastAsia="Calibri" w:hAnsi="Calibri"/>
          <w:b/>
          <w:bCs/>
          <w:sz w:val="18"/>
          <w:szCs w:val="18"/>
        </w:rPr>
        <w:t xml:space="preserve">2004 Rules on Notarial Practice (A.M. No. 02-8-13-SC), as amended March 4, 2025 - Rule II Sec. 1 (acknowledgment; competent evidence of identity; a representative's authority to sign in that capacity); Rule VIII Sec. 2 (certificate contents). Amendments: https://sc.judiciary.gov.ph/wp-content/uploads/2025/06/Amended-2004-Notarial-Rules.pdf (checked 2026-10-01)</w:t>
      </w:r>
    </w:p>
    <w:p>
      <w:pPr>
        <w:spacing w:after="120"/>
      </w:pPr>
      <w:hyperlink w:history="1" r:id="rIdpdq70clnvgxl6vzxsjl8d">
        <w:r>
          <w:rPr>
            <w:rFonts w:ascii="Calibri" w:cs="Calibri" w:eastAsia="Calibri" w:hAnsi="Calibri"/>
            <w:color w:val="315B75"/>
            <w:sz w:val="17"/>
            <w:szCs w:val="17"/>
            <w:u w:val="single"/>
          </w:rPr>
          <w:t xml:space="preserve">https://sc.judiciary.gov.ph/wp-content/uploads/2022/08/02-08-13-SC-1.pdf</w:t>
        </w:r>
      </w:hyperlink>
    </w:p>
    <w:p>
      <w:pPr>
        <w:keepNext/>
        <w:spacing w:after="60" w:before="100"/>
      </w:pPr>
      <w:r>
        <w:rPr>
          <w:rFonts w:ascii="Calibri" w:cs="Calibri" w:eastAsia="Calibri" w:hAnsi="Calibri"/>
          <w:b/>
          <w:bCs/>
          <w:sz w:val="18"/>
          <w:szCs w:val="18"/>
        </w:rPr>
        <w:t xml:space="preserve">Truth in Lending Act (Republic Act No. 3765) - Clear written disclosure of finance charges and credit terms where the Act applies (checked 2026-08-29)</w:t>
      </w:r>
    </w:p>
    <w:p>
      <w:pPr>
        <w:spacing w:after="120"/>
      </w:pPr>
      <w:hyperlink w:history="1" r:id="rIdruprtabonegy0qen30u3x">
        <w:r>
          <w:rPr>
            <w:rFonts w:ascii="Calibri" w:cs="Calibri" w:eastAsia="Calibri" w:hAnsi="Calibri"/>
            <w:color w:val="315B75"/>
            <w:sz w:val="17"/>
            <w:szCs w:val="17"/>
            <w:u w:val="single"/>
          </w:rPr>
          <w:t xml:space="preserve">https://lawphil.net/statutes/repacts/ra1963/ra_3765_1963.html</w:t>
        </w:r>
      </w:hyperlink>
    </w:p>
    <w:p>
      <w:pPr>
        <w:keepNext/>
        <w:spacing w:after="60" w:before="100"/>
      </w:pPr>
      <w:r>
        <w:rPr>
          <w:rFonts w:ascii="Calibri" w:cs="Calibri" w:eastAsia="Calibri" w:hAnsi="Calibri"/>
          <w:b/>
          <w:bCs/>
          <w:sz w:val="18"/>
          <w:szCs w:val="18"/>
        </w:rPr>
        <w:t xml:space="preserve">Lending Company Regulation Act of 2007 (Republic Act No. 9474) - Registration and regulation of persons engaged in lending as a business; this template excludes that activity (checked 2026-08-29)</w:t>
      </w:r>
    </w:p>
    <w:p>
      <w:pPr>
        <w:spacing w:after="120"/>
      </w:pPr>
      <w:hyperlink w:history="1" r:id="rIdrjwy9qyfnc2qbfzhopqqu">
        <w:r>
          <w:rPr>
            <w:rFonts w:ascii="Calibri" w:cs="Calibri" w:eastAsia="Calibri" w:hAnsi="Calibri"/>
            <w:color w:val="315B75"/>
            <w:sz w:val="17"/>
            <w:szCs w:val="17"/>
            <w:u w:val="single"/>
          </w:rPr>
          <w:t xml:space="preserve">https://lawphil.net/statutes/repacts/ra2007/ra_9474_2007.html</w:t>
        </w:r>
      </w:hyperlink>
    </w:p>
    <w:p>
      <w:pPr>
        <w:keepNext/>
        <w:spacing w:after="60" w:before="100"/>
      </w:pPr>
      <w:r>
        <w:rPr>
          <w:rFonts w:ascii="Calibri" w:cs="Calibri" w:eastAsia="Calibri" w:hAnsi="Calibri"/>
          <w:b/>
          <w:bCs/>
          <w:sz w:val="18"/>
          <w:szCs w:val="18"/>
        </w:rPr>
        <w:t xml:space="preserve">Personal Property Security Act (Republic Act No. 11057) - Secs. 5–7, 11–12, and 26–39 on creation, description, perfection, priority, and the electronic registry for security interests in personal property (checked 2026-08-29)</w:t>
      </w:r>
    </w:p>
    <w:p>
      <w:pPr>
        <w:spacing w:after="120"/>
      </w:pPr>
      <w:hyperlink w:history="1" r:id="rIduchq7crfjhr9cubhjlrhi">
        <w:r>
          <w:rPr>
            <w:rFonts w:ascii="Calibri" w:cs="Calibri" w:eastAsia="Calibri" w:hAnsi="Calibri"/>
            <w:color w:val="315B75"/>
            <w:sz w:val="17"/>
            <w:szCs w:val="17"/>
            <w:u w:val="single"/>
          </w:rPr>
          <w:t xml:space="preserve">https://lawphil.net/statutes/repacts/ra2018/ra_11057_2018.html</w:t>
        </w:r>
      </w:hyperlink>
    </w:p>
    <w:p>
      <w:pPr>
        <w:keepNext/>
        <w:spacing w:after="60" w:before="100"/>
      </w:pPr>
      <w:r>
        <w:rPr>
          <w:rFonts w:ascii="Calibri" w:cs="Calibri" w:eastAsia="Calibri" w:hAnsi="Calibri"/>
          <w:b/>
          <w:bCs/>
          <w:sz w:val="18"/>
          <w:szCs w:val="18"/>
        </w:rPr>
        <w:t xml:space="preserve">Philippines Personal Property Security Registry - Operational online notice registry for personal-property security interests, including registration, search, amendment, continuation, and termination (checked 2026-08-29)</w:t>
      </w:r>
    </w:p>
    <w:p>
      <w:pPr>
        <w:spacing w:after="120"/>
      </w:pPr>
      <w:hyperlink w:history="1" r:id="rIdetmhnhdrbjct4xweewn1h">
        <w:r>
          <w:rPr>
            <w:rFonts w:ascii="Calibri" w:cs="Calibri" w:eastAsia="Calibri" w:hAnsi="Calibri"/>
            <w:color w:val="315B75"/>
            <w:sz w:val="17"/>
            <w:szCs w:val="17"/>
            <w:u w:val="single"/>
          </w:rPr>
          <w:t xml:space="preserve">https://ppsr.lra.gov.ph/about-ppsr/</w:t>
        </w:r>
      </w:hyperlink>
    </w:p>
    <w:p>
      <w:pPr>
        <w:keepNext/>
        <w:spacing w:after="60" w:before="100"/>
      </w:pPr>
      <w:r>
        <w:rPr>
          <w:rFonts w:ascii="Calibri" w:cs="Calibri" w:eastAsia="Calibri" w:hAnsi="Calibri"/>
          <w:b/>
          <w:bCs/>
          <w:sz w:val="18"/>
          <w:szCs w:val="18"/>
        </w:rPr>
        <w:t xml:space="preserve">Revenue Regulations No. 19-2025 Digest - Current documentary stamp tax coordination for a loan agreement, promissory note, mortgage, or personal-property security instrument executed for one loan (checked 2026-10-01)</w:t>
      </w:r>
    </w:p>
    <w:p>
      <w:pPr>
        <w:spacing w:after="120"/>
      </w:pPr>
      <w:hyperlink w:history="1" r:id="rIdwycf2o3yrbv1xp7colkhq">
        <w:r>
          <w:rPr>
            <w:rFonts w:ascii="Calibri" w:cs="Calibri" w:eastAsia="Calibri" w:hAnsi="Calibri"/>
            <w:color w:val="315B75"/>
            <w:sz w:val="17"/>
            <w:szCs w:val="17"/>
            <w:u w:val="single"/>
          </w:rPr>
          <w:t xml:space="preserve">https://bir-cdn.bir.gov.ph/BIR/pdf/RR%20No.%2019-2025%20Digest.pdf</w:t>
        </w:r>
      </w:hyperlink>
    </w:p>
    <w:p>
      <w:pPr>
        <w:keepNext/>
        <w:spacing w:after="60" w:before="100"/>
      </w:pPr>
      <w:r>
        <w:rPr>
          <w:rFonts w:ascii="Calibri" w:cs="Calibri" w:eastAsia="Calibri" w:hAnsi="Calibri"/>
          <w:b/>
          <w:bCs/>
          <w:sz w:val="18"/>
          <w:szCs w:val="18"/>
        </w:rPr>
        <w:t xml:space="preserve">Electronic Commerce Act of 2000 (Republic Act No. 8792) - Secs. 6–8 on legal recognition of electronic data messages, documents, and signatures (checked 2026-08-29)</w:t>
      </w:r>
    </w:p>
    <w:p>
      <w:pPr>
        <w:spacing w:after="120"/>
      </w:pPr>
      <w:hyperlink w:history="1" r:id="rIddprkpcysxaayb04wysmf8">
        <w:r>
          <w:rPr>
            <w:rFonts w:ascii="Calibri" w:cs="Calibri" w:eastAsia="Calibri" w:hAnsi="Calibri"/>
            <w:color w:val="315B75"/>
            <w:sz w:val="17"/>
            <w:szCs w:val="17"/>
            <w:u w:val="single"/>
          </w:rPr>
          <w:t xml:space="preserve">https://lawphil.net/statutes/repacts/ra2000/ra_8792_2000.html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cjbudr_mxpz9kkeshngx" Type="http://schemas.openxmlformats.org/officeDocument/2006/relationships/hyperlink" Target="https://lawphil.net/statutes/repacts/ra1949/ra_386_1949.html" TargetMode="External"/><Relationship Id="rIdykhffjd8dv7v8ru6vbmfo" Type="http://schemas.openxmlformats.org/officeDocument/2006/relationships/hyperlink" Target="https://lawphil.net/judjuris/juri2022/sep2022/gr_225433_2022.html" TargetMode="External"/><Relationship Id="rIdvj5vvalnb-cpzeg5x2-x0" Type="http://schemas.openxmlformats.org/officeDocument/2006/relationships/hyperlink" Target="https://lawphil.net/judjuris/juri2013/aug2013/gr_189871_2013.html" TargetMode="External"/><Relationship Id="rIdmgbrhdyukng1vg4f8djy9" Type="http://schemas.openxmlformats.org/officeDocument/2006/relationships/hyperlink" Target="https://lawphil.net/executive/execord/eo1987/eo_209_1987.html" TargetMode="External"/><Relationship Id="rId9w9jcscea7uxnhzm-qhuj" Type="http://schemas.openxmlformats.org/officeDocument/2006/relationships/hyperlink" Target="https://lawphil.net/statutes/repacts/ra1997/ra_8424_1997.html" TargetMode="External"/><Relationship Id="rIdto47thuaag5j4nswgo1dh" Type="http://schemas.openxmlformats.org/officeDocument/2006/relationships/hyperlink" Target="https://lawphil.net/statutes/repacts/ra2025/ra_12214_2025.html" TargetMode="External"/><Relationship Id="rIdpdq70clnvgxl6vzxsjl8d" Type="http://schemas.openxmlformats.org/officeDocument/2006/relationships/hyperlink" Target="https://sc.judiciary.gov.ph/wp-content/uploads/2022/08/02-08-13-SC-1.pdf" TargetMode="External"/><Relationship Id="rIdruprtabonegy0qen30u3x" Type="http://schemas.openxmlformats.org/officeDocument/2006/relationships/hyperlink" Target="https://lawphil.net/statutes/repacts/ra1963/ra_3765_1963.html" TargetMode="External"/><Relationship Id="rIdrjwy9qyfnc2qbfzhopqqu" Type="http://schemas.openxmlformats.org/officeDocument/2006/relationships/hyperlink" Target="https://lawphil.net/statutes/repacts/ra2007/ra_9474_2007.html" TargetMode="External"/><Relationship Id="rIduchq7crfjhr9cubhjlrhi" Type="http://schemas.openxmlformats.org/officeDocument/2006/relationships/hyperlink" Target="https://lawphil.net/statutes/repacts/ra2018/ra_11057_2018.html" TargetMode="External"/><Relationship Id="rIdetmhnhdrbjct4xweewn1h" Type="http://schemas.openxmlformats.org/officeDocument/2006/relationships/hyperlink" Target="https://ppsr.lra.gov.ph/about-ppsr/" TargetMode="External"/><Relationship Id="rIdwycf2o3yrbv1xp7colkhq" Type="http://schemas.openxmlformats.org/officeDocument/2006/relationships/hyperlink" Target="https://bir-cdn.bir.gov.ph/BIR/pdf/RR%20No.%2019-2025%20Digest.pdf" TargetMode="External"/><Relationship Id="rIddprkpcysxaayb04wysmf8" Type="http://schemas.openxmlformats.org/officeDocument/2006/relationships/hyperlink" Target="https://lawphil.net/statutes/repacts/ra2000/ra_8792_2000.html"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Loan Agreement and Promissory Note</dc:title>
  <dc:creator>LAW.PH</dc:creator>
  <dc:description>Free sample of the Loan Agreement and Promissory Note from LAW.PH, with fictional details</dc:description>
  <cp:lastModifiedBy>Un-named</cp:lastModifiedBy>
  <cp:revision>1</cp:revision>
  <dcterms:created xsi:type="dcterms:W3CDTF">2026-10-02T05:29:58.326Z</dcterms:created>
  <dcterms:modified xsi:type="dcterms:W3CDTF">2026-10-02T05:29:58.326Z</dcterms:modified>
</cp:coreProperties>
</file>

<file path=docProps/custom.xml><?xml version="1.0" encoding="utf-8"?>
<Properties xmlns="http://schemas.openxmlformats.org/officeDocument/2006/custom-properties" xmlns:vt="http://schemas.openxmlformats.org/officeDocument/2006/docPropsVTypes"/>
</file>