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PARENTAL MEDICAL CONSENT FOR A MINOR</w:t>
      </w:r>
    </w:p>
    <w:p>
      <w:pPr>
        <w:spacing w:after="160"/>
        <w:jc w:val="center"/>
      </w:pPr>
      <w:r>
        <w:rPr>
          <w:rFonts w:ascii="Calibri" w:cs="Calibri" w:eastAsia="Calibri" w:hAnsi="Calibri"/>
          <w:color w:val="566674"/>
          <w:sz w:val="18"/>
          <w:szCs w:val="18"/>
        </w:rPr>
        <w:t xml:space="preserve">Republic of the Philippines — Family authorization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family-lawyer review pending</w:t>
      </w:r>
    </w:p>
    <w:p>
      <w:pPr>
        <w:keepLines/>
        <w:spacing w:after="120" w:line="264"/>
        <w:jc w:val="both"/>
      </w:pPr>
      <w:r>
        <w:rPr>
          <w:rFonts w:ascii="Calibri" w:cs="Calibri" w:eastAsia="Calibri" w:hAnsi="Calibri"/>
          <w:sz w:val="22"/>
          <w:szCs w:val="22"/>
        </w:rPr>
        <w:t xml:space="preserve">I, Maria Cristina Santos, of legal age, residing at 45 Mabini Street, Quezon City 1100, and reachable at +63 917 555 0123, am the mother of Mateo Santos Villanueva, born on June 14, 2015 (the "Child"). I give this consent on September 25, 2026.</w:t>
      </w:r>
    </w:p>
    <w:p>
      <w:pPr>
        <w:pStyle w:val="Heading2"/>
        <w:keepNext/>
        <w:spacing w:after="120" w:before="240"/>
      </w:pPr>
      <w:r>
        <w:rPr>
          <w:rFonts w:ascii="Calibri" w:cs="Calibri" w:eastAsia="Calibri" w:hAnsi="Calibri"/>
          <w:b/>
          <w:bCs/>
          <w:color w:val="102B3F"/>
          <w:sz w:val="26"/>
          <w:szCs w:val="26"/>
        </w:rPr>
        <w:t xml:space="preserve">1. My authority</w:t>
      </w:r>
    </w:p>
    <w:p>
      <w:pPr>
        <w:keepLines/>
        <w:spacing w:after="120" w:line="264"/>
        <w:jc w:val="both"/>
      </w:pPr>
      <w:r>
        <w:rPr>
          <w:rFonts w:ascii="Calibri" w:cs="Calibri" w:eastAsia="Calibri" w:hAnsi="Calibri"/>
          <w:sz w:val="22"/>
          <w:szCs w:val="22"/>
        </w:rPr>
        <w:t xml:space="preserve">The child's parents exercise parental authority jointly (Family Code, Article 211). Roberto Villanueva, the child's other parent, has been told of this consent and does not object.</w:t>
      </w:r>
    </w:p>
    <w:p>
      <w:pPr>
        <w:pStyle w:val="Heading2"/>
        <w:keepNext/>
        <w:spacing w:after="120" w:before="240"/>
      </w:pPr>
      <w:r>
        <w:rPr>
          <w:rFonts w:ascii="Calibri" w:cs="Calibri" w:eastAsia="Calibri" w:hAnsi="Calibri"/>
          <w:b/>
          <w:bCs/>
          <w:color w:val="102B3F"/>
          <w:sz w:val="26"/>
          <w:szCs w:val="26"/>
        </w:rPr>
        <w:t xml:space="preserve">2. Authorized adult and period</w:t>
      </w:r>
    </w:p>
    <w:p>
      <w:pPr>
        <w:keepLines/>
        <w:spacing w:after="120" w:line="264"/>
        <w:jc w:val="both"/>
      </w:pPr>
      <w:r>
        <w:rPr>
          <w:rFonts w:ascii="Calibri" w:cs="Calibri" w:eastAsia="Calibri" w:hAnsi="Calibri"/>
          <w:sz w:val="22"/>
          <w:szCs w:val="22"/>
        </w:rPr>
        <w:t xml:space="preserve">I authorize Teresita R. Gonzales, of legal age, the Child's Maternal aunt, residing at 12 Rizal Street, Baliuag, Bulacan 3006, and reachable at +63 918 555 0142 (the "Authorized Adult"), to arrange and consent to the care described below for the Child during October 1, 2026 to March 31, 2027.</w:t>
      </w:r>
    </w:p>
    <w:p>
      <w:pPr>
        <w:pStyle w:val="Heading2"/>
        <w:keepNext/>
        <w:spacing w:after="120" w:before="240"/>
      </w:pPr>
      <w:r>
        <w:rPr>
          <w:rFonts w:ascii="Calibri" w:cs="Calibri" w:eastAsia="Calibri" w:hAnsi="Calibri"/>
          <w:b/>
          <w:bCs/>
          <w:color w:val="102B3F"/>
          <w:sz w:val="26"/>
          <w:szCs w:val="26"/>
        </w:rPr>
        <w:t xml:space="preserve">3. Care covered</w:t>
      </w:r>
    </w:p>
    <w:p>
      <w:pPr>
        <w:keepLines/>
        <w:spacing w:after="120" w:line="264"/>
        <w:jc w:val="both"/>
      </w:pPr>
      <w:r>
        <w:rPr>
          <w:rFonts w:ascii="Calibri" w:cs="Calibri" w:eastAsia="Calibri" w:hAnsi="Calibri"/>
          <w:sz w:val="22"/>
          <w:szCs w:val="22"/>
        </w:rPr>
        <w:t xml:space="preserve">The Authorized Adult may consent to, and sign the provider's forms for: routine check-ups and outpatient consultations; medicines a doctor prescribes for the child; routine immunizations under the Department of Health schedule; emergency treatment when the signer cannot be reached in time.</w:t>
      </w:r>
    </w:p>
    <w:p>
      <w:pPr>
        <w:keepLines/>
        <w:spacing w:after="120" w:line="264"/>
        <w:jc w:val="both"/>
      </w:pPr>
      <w:r>
        <w:rPr>
          <w:rFonts w:ascii="Calibri" w:cs="Calibri" w:eastAsia="Calibri" w:hAnsi="Calibri"/>
          <w:sz w:val="22"/>
          <w:szCs w:val="22"/>
        </w:rPr>
        <w:t xml:space="preserve">For any care beyond routine care, the Authorized Adult shall try to reach me before the treatment begins.</w:t>
      </w:r>
    </w:p>
    <w:p>
      <w:pPr>
        <w:pStyle w:val="Heading2"/>
        <w:keepNext/>
        <w:spacing w:after="120" w:before="240"/>
      </w:pPr>
      <w:r>
        <w:rPr>
          <w:rFonts w:ascii="Calibri" w:cs="Calibri" w:eastAsia="Calibri" w:hAnsi="Calibri"/>
          <w:b/>
          <w:bCs/>
          <w:color w:val="102B3F"/>
          <w:sz w:val="26"/>
          <w:szCs w:val="26"/>
        </w:rPr>
        <w:t xml:space="preserve">4. Emergencies</w:t>
      </w:r>
    </w:p>
    <w:p>
      <w:pPr>
        <w:keepLines/>
        <w:spacing w:after="120" w:line="264"/>
        <w:jc w:val="both"/>
      </w:pPr>
      <w:r>
        <w:rPr>
          <w:rFonts w:ascii="Calibri" w:cs="Calibri" w:eastAsia="Calibri" w:hAnsi="Calibri"/>
          <w:sz w:val="22"/>
          <w:szCs w:val="22"/>
        </w:rPr>
        <w:t xml:space="preserve">Hospitals and clinics must give appropriate initial treatment in an emergency and may not demand a deposit first (Republic Act No. 8344 and Republic Act No. 10932). I ask the provider to contact me immediately in any emergency.</w:t>
      </w:r>
    </w:p>
    <w:p>
      <w:pPr>
        <w:keepLines/>
        <w:spacing w:after="120" w:line="264"/>
        <w:jc w:val="both"/>
      </w:pPr>
      <w:r>
        <w:rPr>
          <w:rFonts w:ascii="Calibri" w:cs="Calibri" w:eastAsia="Calibri" w:hAnsi="Calibri"/>
          <w:sz w:val="22"/>
          <w:szCs w:val="22"/>
        </w:rPr>
        <w:t xml:space="preserve">If I cannot be reached in time, the Authorized Adult may consent to emergency treatment that is needed to protect the Child's life or to prevent serious harm.</w:t>
      </w:r>
    </w:p>
    <w:p>
      <w:pPr>
        <w:pStyle w:val="Heading2"/>
        <w:keepNext/>
        <w:spacing w:after="120" w:before="240"/>
      </w:pPr>
      <w:r>
        <w:rPr>
          <w:rFonts w:ascii="Calibri" w:cs="Calibri" w:eastAsia="Calibri" w:hAnsi="Calibri"/>
          <w:b/>
          <w:bCs/>
          <w:color w:val="102B3F"/>
          <w:sz w:val="26"/>
          <w:szCs w:val="26"/>
        </w:rPr>
        <w:t xml:space="preserve">5. What this consent does not cover</w:t>
      </w:r>
    </w:p>
    <w:p>
      <w:pPr>
        <w:keepLines/>
        <w:spacing w:after="120" w:line="264"/>
        <w:jc w:val="both"/>
      </w:pPr>
      <w:r>
        <w:rPr>
          <w:rFonts w:ascii="Calibri" w:cs="Calibri" w:eastAsia="Calibri" w:hAnsi="Calibri"/>
          <w:sz w:val="22"/>
          <w:szCs w:val="22"/>
        </w:rPr>
        <w:t xml:space="preserve">This consent does not authorize surgery or general anesthesia, other than emergency treatment to protect life, or a blood transfusion other than in an emergency; clinical trials or organ donation; or HIV testing, mental-health treatment, or reproductive-health services, which follow their own laws and the provider's own consent process. It does not authorize travel outside the Philippines.</w:t>
      </w:r>
    </w:p>
    <w:p>
      <w:pPr>
        <w:keepLines/>
        <w:spacing w:after="120" w:line="264"/>
        <w:jc w:val="both"/>
      </w:pPr>
      <w:r>
        <w:rPr>
          <w:rFonts w:ascii="Calibri" w:cs="Calibri" w:eastAsia="Calibri" w:hAnsi="Calibri"/>
          <w:sz w:val="22"/>
          <w:szCs w:val="22"/>
        </w:rPr>
        <w:t xml:space="preserve">This consent does not transfer any part of my parental authority. I remain the Child's parent or guardian, and I may revoke this consent at any time by telling the Authorized Adult and the provider.</w:t>
      </w:r>
    </w:p>
    <w:p>
      <w:pPr>
        <w:pStyle w:val="Heading2"/>
        <w:keepNext/>
        <w:spacing w:after="120" w:before="240"/>
      </w:pPr>
      <w:r>
        <w:rPr>
          <w:rFonts w:ascii="Calibri" w:cs="Calibri" w:eastAsia="Calibri" w:hAnsi="Calibri"/>
          <w:b/>
          <w:bCs/>
          <w:color w:val="102B3F"/>
          <w:sz w:val="26"/>
          <w:szCs w:val="26"/>
        </w:rPr>
        <w:t xml:space="preserve">6. Health information</w:t>
      </w:r>
    </w:p>
    <w:p>
      <w:pPr>
        <w:keepLines/>
        <w:spacing w:after="120" w:line="264"/>
        <w:jc w:val="both"/>
      </w:pPr>
      <w:r>
        <w:rPr>
          <w:rFonts w:ascii="Calibri" w:cs="Calibri" w:eastAsia="Calibri" w:hAnsi="Calibri"/>
          <w:sz w:val="22"/>
          <w:szCs w:val="22"/>
        </w:rPr>
        <w:t xml:space="preserve">Health information the provider should know: Allergic to penicillin. Mild asthma; uses a salbutamol inhaler as needed.</w:t>
      </w:r>
    </w:p>
    <w:p>
      <w:pPr>
        <w:keepLines/>
        <w:spacing w:after="120" w:line="264"/>
        <w:jc w:val="both"/>
      </w:pPr>
      <w:r>
        <w:rPr>
          <w:rFonts w:ascii="Calibri" w:cs="Calibri" w:eastAsia="Calibri" w:hAnsi="Calibri"/>
          <w:sz w:val="22"/>
          <w:szCs w:val="22"/>
        </w:rPr>
        <w:t xml:space="preserve">Insurance or coverage: Maxicare HMO and PhilHealth dependent.</w:t>
      </w:r>
    </w:p>
    <w:p>
      <w:pPr>
        <w:keepLines/>
        <w:spacing w:after="120" w:line="264"/>
        <w:jc w:val="both"/>
      </w:pPr>
      <w:r>
        <w:rPr>
          <w:rFonts w:ascii="Calibri" w:cs="Calibri" w:eastAsia="Calibri" w:hAnsi="Calibri"/>
          <w:sz w:val="22"/>
          <w:szCs w:val="22"/>
        </w:rPr>
        <w:t xml:space="preserve">Preferred doctor, clinic, or hospital: Dr. Liza Ramos, St. Luke's Medical Center, Quezon City.</w:t>
      </w:r>
    </w:p>
    <w:p>
      <w:pPr>
        <w:keepLines/>
        <w:spacing w:after="120" w:line="264"/>
        <w:jc w:val="both"/>
      </w:pPr>
      <w:r>
        <w:rPr>
          <w:rFonts w:ascii="Calibri" w:cs="Calibri" w:eastAsia="Calibri" w:hAnsi="Calibri"/>
          <w:sz w:val="22"/>
          <w:szCs w:val="22"/>
        </w:rPr>
        <w:t xml:space="preserve">I allow the Authorized Adult to show this consent and to share the Child's necessary health information with the treating provider, and to share nothing more than the provider needs. Health information is sensitive personal information, and the provider's own privacy rules also apply.</w:t>
      </w:r>
    </w:p>
    <w:p>
      <w:pPr>
        <w:pStyle w:val="Heading2"/>
        <w:keepNext/>
        <w:spacing w:after="120" w:before="240"/>
      </w:pPr>
      <w:r>
        <w:rPr>
          <w:rFonts w:ascii="Calibri" w:cs="Calibri" w:eastAsia="Calibri" w:hAnsi="Calibri"/>
          <w:b/>
          <w:bCs/>
          <w:color w:val="102B3F"/>
          <w:sz w:val="26"/>
          <w:szCs w:val="26"/>
        </w:rPr>
        <w:t xml:space="preserve">7. Costs and reporting</w:t>
      </w:r>
    </w:p>
    <w:p>
      <w:pPr>
        <w:keepLines/>
        <w:spacing w:after="120" w:line="264"/>
        <w:jc w:val="both"/>
      </w:pPr>
      <w:r>
        <w:rPr>
          <w:rFonts w:ascii="Calibri" w:cs="Calibri" w:eastAsia="Calibri" w:hAnsi="Calibri"/>
          <w:sz w:val="22"/>
          <w:szCs w:val="22"/>
        </w:rPr>
        <w:t xml:space="preserve">The Child's insurance or HMO shall be used first, and I shall pay the balance.</w:t>
      </w:r>
    </w:p>
    <w:p>
      <w:pPr>
        <w:keepLines/>
        <w:spacing w:after="120" w:line="264"/>
        <w:jc w:val="both"/>
      </w:pPr>
      <w:r>
        <w:rPr>
          <w:rFonts w:ascii="Calibri" w:cs="Calibri" w:eastAsia="Calibri" w:hAnsi="Calibri"/>
          <w:sz w:val="22"/>
          <w:szCs w:val="22"/>
        </w:rPr>
        <w:t xml:space="preserve">After any treatment, the Authorized Adult shall tell me promptly what was done, keep the records and receipts, and give them to me.</w:t>
      </w:r>
    </w:p>
    <w:p>
      <w:pPr>
        <w:keepNext/>
        <w:spacing w:after="260" w:before="360"/>
      </w:pPr>
      <w:r>
        <w:rPr>
          <w:rFonts w:ascii="Calibri" w:cs="Calibri" w:eastAsia="Calibri" w:hAnsi="Calibri"/>
          <w:b/>
          <w:bCs/>
          <w:sz w:val="22"/>
          <w:szCs w:val="22"/>
        </w:rPr>
        <w:t xml:space="preserve">SIGNED on September 25, 2026. Give the Authorized Adult a signed copy to show the provider.</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MOTHER</w:t>
            </w:r>
          </w:p>
          <w:p>
            <w:pPr>
              <w:spacing w:after="120"/>
            </w:pPr>
            <w:r>
              <w:rPr>
                <w:rFonts w:ascii="Calibri" w:cs="Calibri" w:eastAsia="Calibri" w:hAnsi="Calibri"/>
                <w:sz w:val="22"/>
                <w:szCs w:val="22"/>
              </w:rPr>
              <w:t xml:space="preserve">Maria Cristina Santos
Signature over printed name: ______________________________</w:t>
            </w:r>
          </w:p>
          <w:p>
            <w:pPr>
              <w:spacing w:after="120"/>
            </w:pPr>
            <w:r>
              <w:rPr>
                <w:rFonts w:ascii="Calibri" w:cs="Calibri" w:eastAsia="Calibri" w:hAnsi="Calibri"/>
                <w:sz w:val="22"/>
                <w:szCs w:val="22"/>
              </w:rPr>
              <w:t xml:space="preserve">Mother of the Child</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AUTHORIZED ADULT — ACCEPTANCE</w:t>
            </w:r>
          </w:p>
          <w:p>
            <w:pPr>
              <w:spacing w:after="120"/>
            </w:pPr>
            <w:r>
              <w:rPr>
                <w:rFonts w:ascii="Calibri" w:cs="Calibri" w:eastAsia="Calibri" w:hAnsi="Calibri"/>
                <w:sz w:val="22"/>
                <w:szCs w:val="22"/>
              </w:rPr>
              <w:t xml:space="preserve">Teresita R. Gonzales
Signature over printed name: ______________________________</w:t>
            </w:r>
          </w:p>
          <w:p>
            <w:pPr>
              <w:spacing w:after="120"/>
            </w:pPr>
            <w:r>
              <w:rPr>
                <w:rFonts w:ascii="Calibri" w:cs="Calibri" w:eastAsia="Calibri" w:hAnsi="Calibri"/>
                <w:sz w:val="22"/>
                <w:szCs w:val="22"/>
              </w:rPr>
              <w:t xml:space="preserve">Authorized Adult, accepting these limits</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 provider decides whether to accept this consent. Bring this document, a valid ID for the Authorized Adult, the Child's birth certificate, and the parent's contact details, and call ahead because some providers require their own consent form.</w:t>
      </w:r>
    </w:p>
    <w:p>
      <w:pPr>
        <w:pStyle w:val="ListParagraph"/>
        <w:keepNext/>
        <w:numPr>
          <w:ilvl w:val="0"/>
          <w:numId w:val="1"/>
        </w:numPr>
        <w:spacing w:after="120" w:line="264"/>
      </w:pPr>
      <w:r>
        <w:rPr>
          <w:rFonts w:ascii="Calibri" w:cs="Calibri" w:eastAsia="Calibri" w:hAnsi="Calibri"/>
          <w:sz w:val="22"/>
          <w:szCs w:val="22"/>
        </w:rPr>
        <w:t xml:space="preserve">In an emergency, a hospital must give appropriate initial treatment and cannot demand a deposit first, whatever paperwork is available (Republic Act No. 8344 and Republic Act No. 10932).</w:t>
      </w:r>
    </w:p>
    <w:p>
      <w:pPr>
        <w:pStyle w:val="ListParagraph"/>
        <w:keepNext/>
        <w:numPr>
          <w:ilvl w:val="0"/>
          <w:numId w:val="1"/>
        </w:numPr>
        <w:spacing w:after="120" w:line="264"/>
      </w:pPr>
      <w:r>
        <w:rPr>
          <w:rFonts w:ascii="Calibri" w:cs="Calibri" w:eastAsia="Calibri" w:hAnsi="Calibri"/>
          <w:sz w:val="22"/>
          <w:szCs w:val="22"/>
        </w:rPr>
        <w:t xml:space="preserve">Parents ordinarily give consent for a minor. If the parents are separated, or a court has ruled on custody or parental authority, the court order controls who may consent. Follow it and tell the provider.</w:t>
      </w:r>
    </w:p>
    <w:p>
      <w:pPr>
        <w:pStyle w:val="ListParagraph"/>
        <w:keepNext/>
        <w:numPr>
          <w:ilvl w:val="0"/>
          <w:numId w:val="1"/>
        </w:numPr>
        <w:spacing w:after="120" w:line="264"/>
      </w:pPr>
      <w:r>
        <w:rPr>
          <w:rFonts w:ascii="Calibri" w:cs="Calibri" w:eastAsia="Calibri" w:hAnsi="Calibri"/>
          <w:sz w:val="22"/>
          <w:szCs w:val="22"/>
        </w:rPr>
        <w:t xml:space="preserve">This consent does not transfer parental authority and does not make the Authorized Adult a guardian. The parent stays responsible for the Child and for the costs.</w:t>
      </w:r>
    </w:p>
    <w:p>
      <w:pPr>
        <w:pStyle w:val="ListParagraph"/>
        <w:keepNext/>
        <w:numPr>
          <w:ilvl w:val="0"/>
          <w:numId w:val="1"/>
        </w:numPr>
        <w:spacing w:after="120" w:line="264"/>
      </w:pPr>
      <w:r>
        <w:rPr>
          <w:rFonts w:ascii="Calibri" w:cs="Calibri" w:eastAsia="Calibri" w:hAnsi="Calibri"/>
          <w:sz w:val="22"/>
          <w:szCs w:val="22"/>
        </w:rPr>
        <w:t xml:space="preserve">Keep the period short and renew it when needed. To revoke it, tell the Authorized Adult in writing and inform any provider or school that has a copy.</w:t>
      </w:r>
    </w:p>
    <w:p>
      <w:pPr>
        <w:pStyle w:val="ListParagraph"/>
        <w:keepNext/>
        <w:numPr>
          <w:ilvl w:val="0"/>
          <w:numId w:val="1"/>
        </w:numPr>
        <w:spacing w:after="120" w:line="264"/>
      </w:pPr>
      <w:r>
        <w:rPr>
          <w:rFonts w:ascii="Calibri" w:cs="Calibri" w:eastAsia="Calibri" w:hAnsi="Calibri"/>
          <w:sz w:val="22"/>
          <w:szCs w:val="22"/>
        </w:rPr>
        <w:t xml:space="preserve">HIV testing, mental-health care, reproductive-health services, surgery, anesthesia, clinical trials, and organ donation follow special laws and the provider's own consent process. They cannot be authorized by this document.</w:t>
      </w:r>
    </w:p>
    <w:p>
      <w:pPr>
        <w:pStyle w:val="ListParagraph"/>
        <w:keepNext/>
        <w:numPr>
          <w:ilvl w:val="0"/>
          <w:numId w:val="1"/>
        </w:numPr>
        <w:spacing w:after="120" w:line="264"/>
      </w:pPr>
      <w:r>
        <w:rPr>
          <w:rFonts w:ascii="Calibri" w:cs="Calibri" w:eastAsia="Calibri" w:hAnsi="Calibri"/>
          <w:sz w:val="22"/>
          <w:szCs w:val="22"/>
        </w:rPr>
        <w:t xml:space="preserve">Health data is sensitive personal information. Share only what the provider needs, and avoid giving the Authorized Adult the Child's full medical records.</w:t>
      </w:r>
    </w:p>
    <w:p>
      <w:pPr>
        <w:pStyle w:val="ListParagraph"/>
        <w:keepNext/>
        <w:numPr>
          <w:ilvl w:val="0"/>
          <w:numId w:val="1"/>
        </w:numPr>
        <w:spacing w:after="120" w:line="264"/>
      </w:pPr>
      <w:r>
        <w:rPr>
          <w:rFonts w:ascii="Calibri" w:cs="Calibri" w:eastAsia="Calibri" w:hAnsi="Calibri"/>
          <w:sz w:val="22"/>
          <w:szCs w:val="22"/>
        </w:rPr>
        <w:t xml:space="preserve">Give the Authorized Adult the Child's insurance or HMO details, a current medicine and allergy list, and the pediatrician's contact so care is safe and fast.</w:t>
      </w:r>
    </w:p>
    <w:p>
      <w:pPr>
        <w:pStyle w:val="ListParagraph"/>
        <w:keepNext/>
        <w:numPr>
          <w:ilvl w:val="0"/>
          <w:numId w:val="1"/>
        </w:numPr>
        <w:spacing w:after="120" w:line="264"/>
      </w:pPr>
      <w:r>
        <w:rPr>
          <w:rFonts w:ascii="Calibri" w:cs="Calibri" w:eastAsia="Calibri" w:hAnsi="Calibri"/>
          <w:sz w:val="22"/>
          <w:szCs w:val="22"/>
        </w:rPr>
        <w:t xml:space="preserve">This is not a travel authority. If the Child will travel, use a separate child travel consent or the DSWD travel clearance that applies.</w:t>
      </w:r>
    </w:p>
    <w:p>
      <w:pPr>
        <w:pStyle w:val="ListParagraph"/>
        <w:keepNext w:val="false"/>
        <w:numPr>
          <w:ilvl w:val="0"/>
          <w:numId w:val="1"/>
        </w:numPr>
        <w:spacing w:after="120" w:line="264"/>
      </w:pPr>
      <w:r>
        <w:rPr>
          <w:rFonts w:ascii="Calibri" w:cs="Calibri" w:eastAsia="Calibri" w:hAnsi="Calibri"/>
          <w:sz w:val="22"/>
          <w:szCs w:val="22"/>
        </w:rPr>
        <w:t xml:space="preserve">If parents dispute custody, the Child's condition is serious or chronic, or a provider refuses to honor the consent, speak to a Philippine lawyer or the hospital's patient-relations office.</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2026-10-01 onward, subject to the recorded review cycle | Independent Philippine family-lawyer review pending | Last legal check 2026-10-01 | Next review due 2026-12-01</w:t>
      </w:r>
    </w:p>
    <w:p>
      <w:pPr>
        <w:keepNext/>
        <w:spacing w:after="60" w:before="100"/>
      </w:pPr>
      <w:r>
        <w:rPr>
          <w:rFonts w:ascii="Calibri" w:cs="Calibri" w:eastAsia="Calibri" w:hAnsi="Calibri"/>
          <w:b/>
          <w:bCs/>
          <w:sz w:val="18"/>
          <w:szCs w:val="18"/>
        </w:rPr>
        <w:t xml:space="preserve">Family Code of the Philippines (Executive Order No. 209) - Arts. 209–220 (parental authority): joint exercise by both parents and the father's decision prevailing in a disagreement unless a court orders otherwise (Art. 211), the present parent's authority (Art. 212), custody and separated parents, substitute parental authority, and the duties of those exercising it; Art. 176 (the mother's parental authority over a child born outside marriage) (checked 2026-10-01)</w:t>
      </w:r>
    </w:p>
    <w:p>
      <w:pPr>
        <w:spacing w:after="120"/>
      </w:pPr>
      <w:hyperlink w:history="1" r:id="rId0efuwe2srl3muhiwu-yqt">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Republic Act No. 8344 (Anti-Refusal of Emergency Medical Treatment), amending B.P. Blg. 702 - Hospitals and clinics must give appropriate initial treatment and support in emergency or serious cases (checked 2026-09-21)</w:t>
      </w:r>
    </w:p>
    <w:p>
      <w:pPr>
        <w:spacing w:after="120"/>
      </w:pPr>
      <w:hyperlink w:history="1" r:id="rIdgk1w1i8uxz9zpockhgx99">
        <w:r>
          <w:rPr>
            <w:rFonts w:ascii="Calibri" w:cs="Calibri" w:eastAsia="Calibri" w:hAnsi="Calibri"/>
            <w:color w:val="315B75"/>
            <w:sz w:val="17"/>
            <w:szCs w:val="17"/>
            <w:u w:val="single"/>
          </w:rPr>
          <w:t xml:space="preserve">https://lawphil.net/statutes/repacts/ra1997/ra_8344_1997.html</w:t>
        </w:r>
      </w:hyperlink>
    </w:p>
    <w:p>
      <w:pPr>
        <w:keepNext/>
        <w:spacing w:after="60" w:before="100"/>
      </w:pPr>
      <w:r>
        <w:rPr>
          <w:rFonts w:ascii="Calibri" w:cs="Calibri" w:eastAsia="Calibri" w:hAnsi="Calibri"/>
          <w:b/>
          <w:bCs/>
          <w:sz w:val="18"/>
          <w:szCs w:val="18"/>
        </w:rPr>
        <w:t xml:space="preserve">Republic Act No. 10932 (Anti-Hospital Deposit Law) - No deposit or advance payment may be demanded before emergency treatment (checked 2026-09-21)</w:t>
      </w:r>
    </w:p>
    <w:p>
      <w:pPr>
        <w:spacing w:after="120"/>
      </w:pPr>
      <w:hyperlink w:history="1" r:id="rId7vinctunwwega4efxia5f">
        <w:r>
          <w:rPr>
            <w:rFonts w:ascii="Calibri" w:cs="Calibri" w:eastAsia="Calibri" w:hAnsi="Calibri"/>
            <w:color w:val="315B75"/>
            <w:sz w:val="17"/>
            <w:szCs w:val="17"/>
            <w:u w:val="single"/>
          </w:rPr>
          <w:t xml:space="preserve">https://lawphil.net/statutes/repacts/ra2017/ra_10932_2017.html</w:t>
        </w:r>
      </w:hyperlink>
    </w:p>
    <w:p>
      <w:pPr>
        <w:keepNext/>
        <w:spacing w:after="60" w:before="100"/>
      </w:pPr>
      <w:r>
        <w:rPr>
          <w:rFonts w:ascii="Calibri" w:cs="Calibri" w:eastAsia="Calibri" w:hAnsi="Calibri"/>
          <w:b/>
          <w:bCs/>
          <w:sz w:val="18"/>
          <w:szCs w:val="18"/>
        </w:rPr>
        <w:t xml:space="preserve">Data Privacy Act of 2012 (Republic Act No. 10173) - Secs. 3(l) and 13: health information is sensitive personal information; lawful basis and consent for processing (checked 2026-09-21)</w:t>
      </w:r>
    </w:p>
    <w:p>
      <w:pPr>
        <w:spacing w:after="120"/>
      </w:pPr>
      <w:hyperlink w:history="1" r:id="rIdh28pbucvdm5grwegu5s-2">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Implementing Rules and Regulations of the Data Privacy Act of 2012 - Rules on consent, proportionality, and sharing of sensitive personal information (checked 2026-09-21)</w:t>
      </w:r>
    </w:p>
    <w:p>
      <w:pPr>
        <w:spacing w:after="120"/>
      </w:pPr>
      <w:hyperlink w:history="1" r:id="rId9hkntykekwsaapx3nawlj">
        <w:r>
          <w:rPr>
            <w:rFonts w:ascii="Calibri" w:cs="Calibri" w:eastAsia="Calibri" w:hAnsi="Calibri"/>
            <w:color w:val="315B75"/>
            <w:sz w:val="17"/>
            <w:szCs w:val="17"/>
            <w:u w:val="single"/>
          </w:rPr>
          <w:t xml:space="preserve">https://privacy.gov.ph/implementing-rules-regulations-data-privacy-act-2012/</w:t>
        </w:r>
      </w:hyperlink>
    </w:p>
    <w:p>
      <w:pPr>
        <w:keepNext/>
        <w:spacing w:after="60" w:before="100"/>
      </w:pPr>
      <w:r>
        <w:rPr>
          <w:rFonts w:ascii="Calibri" w:cs="Calibri" w:eastAsia="Calibri" w:hAnsi="Calibri"/>
          <w:b/>
          <w:bCs/>
          <w:sz w:val="18"/>
          <w:szCs w:val="18"/>
        </w:rPr>
        <w:t xml:space="preserve">2004 Rules on Notarial Practice - Acknowledgment, personal appearance, competent evidence of identity, and certificate requirements where the consent is notarized (checked 2026-09-21)</w:t>
      </w:r>
    </w:p>
    <w:p>
      <w:pPr>
        <w:spacing w:after="120"/>
      </w:pPr>
      <w:hyperlink w:history="1" r:id="rIdjk1m0nvlawcxknm2ahurf">
        <w:r>
          <w:rPr>
            <w:rFonts w:ascii="Calibri" w:cs="Calibri" w:eastAsia="Calibri" w:hAnsi="Calibri"/>
            <w:color w:val="315B75"/>
            <w:sz w:val="17"/>
            <w:szCs w:val="17"/>
            <w:u w:val="single"/>
          </w:rPr>
          <w:t xml:space="preserve">https://sc.judiciary.gov.ph/wp-content/uploads/2022/08/02-08-13-SC-1.pdf</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efuwe2srl3muhiwu-yqt" Type="http://schemas.openxmlformats.org/officeDocument/2006/relationships/hyperlink" Target="https://lawphil.net/executive/execord/eo1987/eo_209_1987.html" TargetMode="External"/><Relationship Id="rIdgk1w1i8uxz9zpockhgx99" Type="http://schemas.openxmlformats.org/officeDocument/2006/relationships/hyperlink" Target="https://lawphil.net/statutes/repacts/ra1997/ra_8344_1997.html" TargetMode="External"/><Relationship Id="rId7vinctunwwega4efxia5f" Type="http://schemas.openxmlformats.org/officeDocument/2006/relationships/hyperlink" Target="https://lawphil.net/statutes/repacts/ra2017/ra_10932_2017.html" TargetMode="External"/><Relationship Id="rIdh28pbucvdm5grwegu5s-2" Type="http://schemas.openxmlformats.org/officeDocument/2006/relationships/hyperlink" Target="https://lawphil.net/statutes/repacts/ra2012/ra_10173_2012.html" TargetMode="External"/><Relationship Id="rId9hkntykekwsaapx3nawlj" Type="http://schemas.openxmlformats.org/officeDocument/2006/relationships/hyperlink" Target="https://privacy.gov.ph/implementing-rules-regulations-data-privacy-act-2012/" TargetMode="External"/><Relationship Id="rIdjk1m0nvlawcxknm2ahurf" Type="http://schemas.openxmlformats.org/officeDocument/2006/relationships/hyperlink" Target="https://sc.judiciary.gov.ph/wp-content/uploads/2022/08/02-08-13-SC-1.pdf"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MEDICAL CONSENT FOR A MINOR</dc:title>
  <dc:creator>LAW.PH</dc:creator>
  <dc:description>Free sample of the Parental Medical Consent for a Minor from LAW.PH, with fictional details</dc:description>
  <cp:lastModifiedBy>Un-named</cp:lastModifiedBy>
  <cp:revision>1</cp:revision>
  <dcterms:created xsi:type="dcterms:W3CDTF">2026-10-02T05:29:58.254Z</dcterms:created>
  <dcterms:modified xsi:type="dcterms:W3CDTF">2026-10-02T05:29:58.254Z</dcterms:modified>
</cp:coreProperties>
</file>

<file path=docProps/custom.xml><?xml version="1.0" encoding="utf-8"?>
<Properties xmlns="http://schemas.openxmlformats.org/officeDocument/2006/custom-properties" xmlns:vt="http://schemas.openxmlformats.org/officeDocument/2006/docPropsVTypes"/>
</file>