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MEMORANDUM OF AGREEMENT</w:t>
      </w:r>
    </w:p>
    <w:p>
      <w:pPr>
        <w:spacing w:after="160"/>
        <w:jc w:val="center"/>
      </w:pPr>
      <w:r>
        <w:rPr>
          <w:rFonts w:ascii="Calibri" w:cs="Calibri" w:eastAsia="Calibri" w:hAnsi="Calibri"/>
          <w:color w:val="566674"/>
          <w:sz w:val="18"/>
          <w:szCs w:val="18"/>
        </w:rPr>
        <w:t xml:space="preserve">Republic of the Philippines · data collaboration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contract-lawyer review pending</w:t>
      </w:r>
    </w:p>
    <w:p>
      <w:pPr>
        <w:keepLines/>
        <w:spacing w:after="120" w:line="264"/>
        <w:jc w:val="both"/>
      </w:pPr>
      <w:r>
        <w:rPr>
          <w:rFonts w:ascii="Calibri" w:cs="Calibri" w:eastAsia="Calibri" w:hAnsi="Calibri"/>
          <w:sz w:val="22"/>
          <w:szCs w:val="22"/>
        </w:rPr>
        <w:t xml:space="preserve">This Memorandum of Agreement ("MOA") is made between Bayanihan Digital Services, Inc., a corporation, with address at 18/F One Ayala Tower, Makati City 1226 (SEC Company Registration No. CS201812345) ("Party A"), and Lakbay Community Foundation, Inc., a nonprofit, with address at 42 Maginhawa Street, Quezon City 1101 (SEC Company Registration No. CN201604321) ("Party B"). Party A and Party B are together the "Parties."</w:t>
      </w:r>
    </w:p>
    <w:p>
      <w:pPr>
        <w:keepLines/>
        <w:spacing w:after="120" w:line="264"/>
        <w:jc w:val="both"/>
      </w:pPr>
      <w:r>
        <w:rPr>
          <w:rFonts w:ascii="Calibri" w:cs="Calibri" w:eastAsia="Calibri" w:hAnsi="Calibri"/>
          <w:sz w:val="22"/>
          <w:szCs w:val="22"/>
        </w:rPr>
        <w:t xml:space="preserve">Project: Community Digital Skills Program 2026–2027. Background: The Parties independently deliver technology training and community programs and wish to combine verified facilities, instructors, and participant-support experience for one pilot program.</w:t>
      </w:r>
    </w:p>
    <w:p>
      <w:pPr>
        <w:pStyle w:val="Heading2"/>
        <w:keepNext/>
        <w:spacing w:after="120" w:before="240"/>
      </w:pPr>
      <w:r>
        <w:rPr>
          <w:rFonts w:ascii="Calibri" w:cs="Calibri" w:eastAsia="Calibri" w:hAnsi="Calibri"/>
          <w:b/>
          <w:bCs/>
          <w:color w:val="102B3F"/>
          <w:sz w:val="26"/>
          <w:szCs w:val="26"/>
        </w:rPr>
        <w:t xml:space="preserve">1. EXPRESS LEGAL EFFECT</w:t>
      </w:r>
    </w:p>
    <w:p>
      <w:pPr>
        <w:keepLines/>
        <w:spacing w:after="120" w:line="264"/>
        <w:jc w:val="both"/>
      </w:pPr>
      <w:r>
        <w:rPr>
          <w:rFonts w:ascii="Calibri" w:cs="Calibri" w:eastAsia="Calibri" w:hAnsi="Calibri"/>
          <w:sz w:val="22"/>
          <w:szCs w:val="22"/>
        </w:rPr>
        <w:t xml:space="preserve">The Parties intend every operative obligation in this MOA to be legally binding upon execution, subject to applicable law.</w:t>
      </w:r>
    </w:p>
    <w:p>
      <w:pPr>
        <w:keepLines/>
        <w:spacing w:after="120" w:line="264"/>
        <w:jc w:val="both"/>
      </w:pPr>
      <w:r>
        <w:rPr>
          <w:rFonts w:ascii="Calibri" w:cs="Calibri" w:eastAsia="Calibri" w:hAnsi="Calibri"/>
          <w:sz w:val="22"/>
          <w:szCs w:val="22"/>
        </w:rPr>
        <w:t xml:space="preserve">The heading 'Memorandum of Agreement' does not override this express allocation. Any binding provision requires consent, a lawful and sufficiently determinate object, lawful cause, proper authority, and every form or approval required by law or the underlying transaction.</w:t>
      </w:r>
    </w:p>
    <w:p>
      <w:pPr>
        <w:pStyle w:val="Heading2"/>
        <w:keepNext/>
        <w:spacing w:after="120" w:before="240"/>
      </w:pPr>
      <w:r>
        <w:rPr>
          <w:rFonts w:ascii="Calibri" w:cs="Calibri" w:eastAsia="Calibri" w:hAnsi="Calibri"/>
          <w:b/>
          <w:bCs/>
          <w:color w:val="102B3F"/>
          <w:sz w:val="26"/>
          <w:szCs w:val="26"/>
        </w:rPr>
        <w:t xml:space="preserve">2. PURPOSE AND SCOPE</w:t>
      </w:r>
    </w:p>
    <w:p>
      <w:pPr>
        <w:keepLines/>
        <w:spacing w:after="120" w:line="264"/>
        <w:jc w:val="both"/>
      </w:pPr>
      <w:r>
        <w:rPr>
          <w:rFonts w:ascii="Calibri" w:cs="Calibri" w:eastAsia="Calibri" w:hAnsi="Calibri"/>
          <w:sz w:val="22"/>
          <w:szCs w:val="22"/>
        </w:rPr>
        <w:t xml:space="preserve">Shared purpose: Deliver an accessible six-month digital-skills pilot for 120 adult learners in Quezon City and measure completion, skills assessment, and employment-referral outcomes.</w:t>
      </w:r>
    </w:p>
    <w:p>
      <w:pPr>
        <w:keepLines/>
        <w:spacing w:after="120" w:line="264"/>
        <w:jc w:val="both"/>
      </w:pPr>
      <w:r>
        <w:rPr>
          <w:rFonts w:ascii="Calibri" w:cs="Calibri" w:eastAsia="Calibri" w:hAnsi="Calibri"/>
          <w:sz w:val="22"/>
          <w:szCs w:val="22"/>
        </w:rPr>
        <w:t xml:space="preserve">Within scope: Design the curriculum, recruit eligible adult participants, deliver twelve instructor-led cohorts in Quezon City, provide learning devices during sessions, document attendance and assessments, and issue a jointly approved outcome report.</w:t>
      </w:r>
    </w:p>
    <w:p>
      <w:pPr>
        <w:keepLines/>
        <w:spacing w:after="120" w:line="264"/>
        <w:jc w:val="both"/>
      </w:pPr>
      <w:r>
        <w:rPr>
          <w:rFonts w:ascii="Calibri" w:cs="Calibri" w:eastAsia="Calibri" w:hAnsi="Calibri"/>
          <w:sz w:val="22"/>
          <w:szCs w:val="22"/>
        </w:rPr>
        <w:t xml:space="preserve">Outside scope: No employment placement guarantee, cash loan, scholarship award, transfer of equipment ownership, government procurement, or authority to speak for the other Party is included.</w:t>
      </w:r>
    </w:p>
    <w:p>
      <w:pPr>
        <w:pStyle w:val="Heading2"/>
        <w:keepNext/>
        <w:spacing w:after="120" w:before="240"/>
      </w:pPr>
      <w:r>
        <w:rPr>
          <w:rFonts w:ascii="Calibri" w:cs="Calibri" w:eastAsia="Calibri" w:hAnsi="Calibri"/>
          <w:b/>
          <w:bCs/>
          <w:color w:val="102B3F"/>
          <w:sz w:val="26"/>
          <w:szCs w:val="26"/>
        </w:rPr>
        <w:t xml:space="preserve">3. TERM AND EFFECTIVENESS</w:t>
      </w:r>
    </w:p>
    <w:p>
      <w:pPr>
        <w:keepLines/>
        <w:spacing w:after="120" w:line="264"/>
        <w:jc w:val="both"/>
      </w:pPr>
      <w:r>
        <w:rPr>
          <w:rFonts w:ascii="Calibri" w:cs="Calibri" w:eastAsia="Calibri" w:hAnsi="Calibri"/>
          <w:sz w:val="22"/>
          <w:szCs w:val="22"/>
        </w:rPr>
        <w:t xml:space="preserve">The MOA becomes effective on the date of the last signature below. The planned project period is September 15, 2026 through March 31, 2027, unless earlier ended or extended through the stated written-change process.</w:t>
      </w:r>
    </w:p>
    <w:p>
      <w:pPr>
        <w:pStyle w:val="Heading2"/>
        <w:keepNext/>
        <w:spacing w:after="120" w:before="240"/>
      </w:pPr>
      <w:r>
        <w:rPr>
          <w:rFonts w:ascii="Calibri" w:cs="Calibri" w:eastAsia="Calibri" w:hAnsi="Calibri"/>
          <w:b/>
          <w:bCs/>
          <w:color w:val="102B3F"/>
          <w:sz w:val="26"/>
          <w:szCs w:val="26"/>
        </w:rPr>
        <w:t xml:space="preserve">4. BAYANIHAN DIGITAL SERVICES, INC. RESPONSIBILITIES</w:t>
      </w:r>
    </w:p>
    <w:p>
      <w:pPr>
        <w:keepLines/>
        <w:spacing w:after="120" w:line="264"/>
        <w:jc w:val="both"/>
      </w:pPr>
      <w:r>
        <w:rPr>
          <w:rFonts w:ascii="Calibri" w:cs="Calibri" w:eastAsia="Calibri" w:hAnsi="Calibri"/>
          <w:sz w:val="22"/>
          <w:szCs w:val="22"/>
        </w:rPr>
        <w:t xml:space="preserve">Provide the approved curriculum, six qualified instructors, training devices for each scheduled session, technical support, skills-assessment tools, and monthly delivery records according to the milestone schedule.</w:t>
      </w:r>
    </w:p>
    <w:p>
      <w:pPr>
        <w:pStyle w:val="Heading2"/>
        <w:keepNext/>
        <w:spacing w:after="120" w:before="240"/>
      </w:pPr>
      <w:r>
        <w:rPr>
          <w:rFonts w:ascii="Calibri" w:cs="Calibri" w:eastAsia="Calibri" w:hAnsi="Calibri"/>
          <w:b/>
          <w:bCs/>
          <w:color w:val="102B3F"/>
          <w:sz w:val="26"/>
          <w:szCs w:val="26"/>
        </w:rPr>
        <w:t xml:space="preserve">5. LAKBAY COMMUNITY FOUNDATION, INC. RESPONSIBILITIES</w:t>
      </w:r>
    </w:p>
    <w:p>
      <w:pPr>
        <w:keepLines/>
        <w:spacing w:after="120" w:line="264"/>
        <w:jc w:val="both"/>
      </w:pPr>
      <w:r>
        <w:rPr>
          <w:rFonts w:ascii="Calibri" w:cs="Calibri" w:eastAsia="Calibri" w:hAnsi="Calibri"/>
          <w:sz w:val="22"/>
          <w:szCs w:val="22"/>
        </w:rPr>
        <w:t xml:space="preserve">Recruit and screen eligible participants, provide the training venue and accessibility support, coordinate attendance and safeguarding, obtain required participant notices and permissions, and maintain community liaison records.</w:t>
      </w:r>
    </w:p>
    <w:p>
      <w:pPr>
        <w:pStyle w:val="Heading2"/>
        <w:keepNext/>
        <w:spacing w:after="120" w:before="240"/>
      </w:pPr>
      <w:r>
        <w:rPr>
          <w:rFonts w:ascii="Calibri" w:cs="Calibri" w:eastAsia="Calibri" w:hAnsi="Calibri"/>
          <w:b/>
          <w:bCs/>
          <w:color w:val="102B3F"/>
          <w:sz w:val="26"/>
          <w:szCs w:val="26"/>
        </w:rPr>
        <w:t xml:space="preserve">6. DELIVERABLES, REVIEW, AND CHANGE CONTROL</w:t>
      </w:r>
    </w:p>
    <w:p>
      <w:pPr>
        <w:keepLines/>
        <w:spacing w:after="120" w:line="264"/>
        <w:jc w:val="both"/>
      </w:pPr>
      <w:r>
        <w:rPr>
          <w:rFonts w:ascii="Calibri" w:cs="Calibri" w:eastAsia="Calibri" w:hAnsi="Calibri"/>
          <w:sz w:val="22"/>
          <w:szCs w:val="22"/>
        </w:rPr>
        <w:t xml:space="preserve">Deliverables and milestones: Curriculum and calendar by 30 September 2026; participant roster by 15 October 2026; twelve completed cohorts by 28 February 2027; jointly verified outcome report by 20 March 2027.</w:t>
      </w:r>
    </w:p>
    <w:p>
      <w:pPr>
        <w:keepLines/>
        <w:spacing w:after="120" w:line="264"/>
        <w:jc w:val="both"/>
      </w:pPr>
      <w:r>
        <w:rPr>
          <w:rFonts w:ascii="Calibri" w:cs="Calibri" w:eastAsia="Calibri" w:hAnsi="Calibri"/>
          <w:sz w:val="22"/>
          <w:szCs w:val="22"/>
        </w:rPr>
        <w:t xml:space="preserve">Acceptance: The two project leads review each milestone against the dated schedule and attached criteria, record conformity or specific deficiencies in the shared project register, and send written approval or rejection through the official contacts. The documented review period is 10 calendar days after complete delivery. Silence is not acceptance; acceptance requires an affirmative written approval by the authorized reviewer.</w:t>
      </w:r>
    </w:p>
    <w:p>
      <w:pPr>
        <w:keepLines/>
        <w:spacing w:after="120" w:line="264"/>
        <w:jc w:val="both"/>
      </w:pPr>
      <w:r>
        <w:rPr>
          <w:rFonts w:ascii="Calibri" w:cs="Calibri" w:eastAsia="Calibri" w:hAnsi="Calibri"/>
          <w:sz w:val="22"/>
          <w:szCs w:val="22"/>
        </w:rPr>
        <w:t xml:space="preserve">No project lead may change scope, deliverables, money, dates, ownership, legal effect, or another Party's responsibility without written approval from representatives authorized for that change.</w:t>
      </w:r>
    </w:p>
    <w:p>
      <w:pPr>
        <w:pStyle w:val="Heading2"/>
        <w:keepNext/>
        <w:spacing w:after="120" w:before="240"/>
      </w:pPr>
      <w:r>
        <w:rPr>
          <w:rFonts w:ascii="Calibri" w:cs="Calibri" w:eastAsia="Calibri" w:hAnsi="Calibri"/>
          <w:b/>
          <w:bCs/>
          <w:color w:val="102B3F"/>
          <w:sz w:val="26"/>
          <w:szCs w:val="26"/>
        </w:rPr>
        <w:t xml:space="preserve">7. FUNDING, EXPENSES, AND TAXES</w:t>
      </w:r>
    </w:p>
    <w:p>
      <w:pPr>
        <w:keepLines/>
        <w:spacing w:after="120" w:line="264"/>
        <w:jc w:val="both"/>
      </w:pPr>
      <w:r>
        <w:rPr>
          <w:rFonts w:ascii="Calibri" w:cs="Calibri" w:eastAsia="Calibri" w:hAnsi="Calibri"/>
          <w:sz w:val="22"/>
          <w:szCs w:val="22"/>
        </w:rPr>
        <w:t xml:space="preserve">No funding obligation is created by this MOA. Each Party bears its own personnel and internal operating costs; approved third-party expenses require a tax-compliant invoice, prior written approval, and applicable withholding documentation.</w:t>
      </w:r>
    </w:p>
    <w:p>
      <w:pPr>
        <w:pStyle w:val="Heading2"/>
        <w:keepNext/>
        <w:spacing w:after="120" w:before="240"/>
      </w:pPr>
      <w:r>
        <w:rPr>
          <w:rFonts w:ascii="Calibri" w:cs="Calibri" w:eastAsia="Calibri" w:hAnsi="Calibri"/>
          <w:b/>
          <w:bCs/>
          <w:color w:val="102B3F"/>
          <w:sz w:val="26"/>
          <w:szCs w:val="26"/>
        </w:rPr>
        <w:t xml:space="preserve">8. GOVERNANCE, RECORDS, AND NOTICES</w:t>
      </w:r>
    </w:p>
    <w:p>
      <w:pPr>
        <w:keepLines/>
        <w:spacing w:after="120" w:line="264"/>
        <w:jc w:val="both"/>
      </w:pPr>
      <w:r>
        <w:rPr>
          <w:rFonts w:ascii="Calibri" w:cs="Calibri" w:eastAsia="Calibri" w:hAnsi="Calibri"/>
          <w:sz w:val="22"/>
          <w:szCs w:val="22"/>
        </w:rPr>
        <w:t xml:space="preserve">Party A project lead: Nico P. Ramos · nico.ramos@bayanihan.example, +63 917 555 0111. Party B project lead: Elena V. Lim · elena.lim@lakbay.example, +63 917 555 0222.</w:t>
      </w:r>
    </w:p>
    <w:p>
      <w:pPr>
        <w:keepLines/>
        <w:spacing w:after="120" w:line="264"/>
        <w:jc w:val="both"/>
      </w:pPr>
      <w:r>
        <w:rPr>
          <w:rFonts w:ascii="Calibri" w:cs="Calibri" w:eastAsia="Calibri" w:hAnsi="Calibri"/>
          <w:sz w:val="22"/>
          <w:szCs w:val="22"/>
        </w:rPr>
        <w:t xml:space="preserve">Decision model: mutual written consent. The project leads may administer the approved schedule. Scope, budget, ownership, participant eligibility, public statements, and material dates require mutual written approval by both authorized signatories.</w:t>
      </w:r>
    </w:p>
    <w:p>
      <w:pPr>
        <w:keepLines/>
        <w:spacing w:after="120" w:line="264"/>
        <w:jc w:val="both"/>
      </w:pPr>
      <w:r>
        <w:rPr>
          <w:rFonts w:ascii="Calibri" w:cs="Calibri" w:eastAsia="Calibri" w:hAnsi="Calibri"/>
          <w:sz w:val="22"/>
          <w:szCs w:val="22"/>
        </w:rPr>
        <w:t xml:space="preserve">Reporting and records: Project leads issue a shared written progress report on the final working day of each month, with milestones, attendance, risks, decisions, and action owners preserved in the project register.</w:t>
      </w:r>
    </w:p>
    <w:p>
      <w:pPr>
        <w:keepLines/>
        <w:spacing w:after="120" w:line="264"/>
        <w:jc w:val="both"/>
      </w:pPr>
      <w:r>
        <w:rPr>
          <w:rFonts w:ascii="Calibri" w:cs="Calibri" w:eastAsia="Calibri" w:hAnsi="Calibri"/>
          <w:sz w:val="22"/>
          <w:szCs w:val="22"/>
        </w:rPr>
        <w:t xml:space="preserve">Operational escalation: A project lead gives a written issue notice within two working days; unresolved matters escalate to both authorized signatories, who meet within five working days and record any agreed resolution.</w:t>
      </w:r>
    </w:p>
    <w:p>
      <w:pPr>
        <w:keepLines/>
        <w:spacing w:after="120" w:line="264"/>
        <w:jc w:val="both"/>
      </w:pPr>
      <w:r>
        <w:rPr>
          <w:rFonts w:ascii="Calibri" w:cs="Calibri" w:eastAsia="Calibri" w:hAnsi="Calibri"/>
          <w:sz w:val="22"/>
          <w:szCs w:val="22"/>
        </w:rPr>
        <w:t xml:space="preserve">Formal notices: Formal notices go to the stated business addresses with copies to the official project contacts and are received on documented personal delivery, courier delivery, or acknowledged email receipt.</w:t>
      </w:r>
    </w:p>
    <w:p>
      <w:pPr>
        <w:pStyle w:val="Heading2"/>
        <w:keepNext/>
        <w:spacing w:after="120" w:before="240"/>
      </w:pPr>
      <w:r>
        <w:rPr>
          <w:rFonts w:ascii="Calibri" w:cs="Calibri" w:eastAsia="Calibri" w:hAnsi="Calibri"/>
          <w:b/>
          <w:bCs/>
          <w:color w:val="102B3F"/>
          <w:sz w:val="26"/>
          <w:szCs w:val="26"/>
        </w:rPr>
        <w:t xml:space="preserve">9. INTELLECTUAL PROPERTY</w:t>
      </w:r>
    </w:p>
    <w:p>
      <w:pPr>
        <w:keepLines/>
        <w:spacing w:after="120" w:line="264"/>
        <w:jc w:val="both"/>
      </w:pPr>
      <w:r>
        <w:rPr>
          <w:rFonts w:ascii="Calibri" w:cs="Calibri" w:eastAsia="Calibri" w:hAnsi="Calibri"/>
          <w:sz w:val="22"/>
          <w:szCs w:val="22"/>
        </w:rPr>
        <w:t xml:space="preserve">Project-output model: each creator owns. Each Party retains its pre-existing curriculum, marks, systems, and materials. The identified creator owns each new project output and grants the other Party a non-exclusive, non-transferable Philippine project license for the MOA term and documented reporting purposes.</w:t>
      </w:r>
    </w:p>
    <w:p>
      <w:pPr>
        <w:keepLines/>
        <w:spacing w:after="120" w:line="264"/>
        <w:jc w:val="both"/>
      </w:pPr>
      <w:r>
        <w:rPr>
          <w:rFonts w:ascii="Calibri" w:cs="Calibri" w:eastAsia="Calibri" w:hAnsi="Calibri"/>
          <w:sz w:val="22"/>
          <w:szCs w:val="22"/>
        </w:rPr>
        <w:t xml:space="preserve">No ownership transfer, exclusive license, moral-right waiver, trademark permission, or right to reuse a Party's name, mark, system, dataset, or background material is implied beyond the precise written grant.</w:t>
      </w:r>
    </w:p>
    <w:p>
      <w:pPr>
        <w:pStyle w:val="Heading2"/>
        <w:keepNext/>
        <w:spacing w:after="120" w:before="240"/>
      </w:pPr>
      <w:r>
        <w:rPr>
          <w:rFonts w:ascii="Calibri" w:cs="Calibri" w:eastAsia="Calibri" w:hAnsi="Calibri"/>
          <w:b/>
          <w:bCs/>
          <w:color w:val="102B3F"/>
          <w:sz w:val="26"/>
          <w:szCs w:val="26"/>
        </w:rPr>
        <w:t xml:space="preserve">10. CONFIDENTIALITY</w:t>
      </w:r>
    </w:p>
    <w:p>
      <w:pPr>
        <w:keepLines/>
        <w:spacing w:after="120" w:line="264"/>
        <w:jc w:val="both"/>
      </w:pPr>
      <w:r>
        <w:rPr>
          <w:rFonts w:ascii="Calibri" w:cs="Calibri" w:eastAsia="Calibri" w:hAnsi="Calibri"/>
          <w:sz w:val="22"/>
          <w:szCs w:val="22"/>
        </w:rPr>
        <w:t xml:space="preserve">Confidential information includes non-public business, participant, curriculum, security, and project information marked confidential or reasonably understood as confidential; it may be used only for the project, shared with authorized need-to-know personnel under equivalent duties, secured reasonably, and returned or deleted after the permitted retention period, excluding public, independently developed, and lawfully received information.</w:t>
      </w:r>
    </w:p>
    <w:p>
      <w:pPr>
        <w:keepLines/>
        <w:spacing w:after="120" w:line="264"/>
        <w:jc w:val="both"/>
      </w:pPr>
      <w:r>
        <w:rPr>
          <w:rFonts w:ascii="Calibri" w:cs="Calibri" w:eastAsia="Calibri" w:hAnsi="Calibri"/>
          <w:sz w:val="22"/>
          <w:szCs w:val="22"/>
        </w:rPr>
        <w:t xml:space="preserve">A compelled disclosure is limited to what lawfully must be disclosed, with prior notice where legally permitted and reasonable cooperation on protective steps.</w:t>
      </w:r>
    </w:p>
    <w:p>
      <w:pPr>
        <w:pStyle w:val="Heading2"/>
        <w:keepNext/>
        <w:spacing w:after="120" w:before="240"/>
      </w:pPr>
      <w:r>
        <w:rPr>
          <w:rFonts w:ascii="Calibri" w:cs="Calibri" w:eastAsia="Calibri" w:hAnsi="Calibri"/>
          <w:b/>
          <w:bCs/>
          <w:color w:val="102B3F"/>
          <w:sz w:val="26"/>
          <w:szCs w:val="26"/>
        </w:rPr>
        <w:t xml:space="preserve">11. DATA PROTECTION</w:t>
      </w:r>
    </w:p>
    <w:p>
      <w:pPr>
        <w:keepLines/>
        <w:spacing w:after="120" w:line="264"/>
        <w:jc w:val="both"/>
      </w:pPr>
      <w:r>
        <w:rPr>
          <w:rFonts w:ascii="Calibri" w:cs="Calibri" w:eastAsia="Calibri" w:hAnsi="Calibri"/>
          <w:sz w:val="22"/>
          <w:szCs w:val="22"/>
        </w:rPr>
        <w:t xml:space="preserve">Personal-data route: structured sharing or processing. Lakbay Community Foundation, Inc. is the personal information controller of participant data it collects at enrollment (names, contact details, attendance, accessibility needs, and assessment results) and shares with Bayanihan Digital Services, Inc. only the roster and assessment data needed to deliver the cohorts and prepare the outcome report. Each Party is accountable for data under its control, limits access to named project staff, uses encrypted transfer, reports security incidents to the other within 24 hours, honors data-subject requests, and deletes or returns participant data within six months after the outcome report unless the law requires longer retention. The outcome report uses only aggregated, de-identified results.</w:t>
      </w:r>
    </w:p>
    <w:p>
      <w:pPr>
        <w:keepLines/>
        <w:spacing w:after="120" w:line="264"/>
        <w:jc w:val="both"/>
      </w:pPr>
      <w:r>
        <w:rPr>
          <w:rFonts w:ascii="Calibri" w:cs="Calibri" w:eastAsia="Calibri" w:hAnsi="Calibri"/>
          <w:sz w:val="22"/>
          <w:szCs w:val="22"/>
        </w:rPr>
        <w:t xml:space="preserve">No structured transfer or processing begins until the Parties document their actual controller/processor roles, lawful bases, notices, security, subcontracting, locations, retention, rights handling, incident workflow, return/deletion, and accountability in a role-specific DSA or DPA and implement those controls operationally.</w:t>
      </w:r>
    </w:p>
    <w:p>
      <w:pPr>
        <w:pStyle w:val="Heading2"/>
        <w:keepNext/>
        <w:spacing w:after="120" w:before="240"/>
      </w:pPr>
      <w:r>
        <w:rPr>
          <w:rFonts w:ascii="Calibri" w:cs="Calibri" w:eastAsia="Calibri" w:hAnsi="Calibri"/>
          <w:b/>
          <w:bCs/>
          <w:color w:val="102B3F"/>
          <w:sz w:val="26"/>
          <w:szCs w:val="26"/>
        </w:rPr>
        <w:t xml:space="preserve">12. LIMITED EXCLUSIVITY</w:t>
      </w:r>
    </w:p>
    <w:p>
      <w:pPr>
        <w:keepLines/>
        <w:spacing w:after="120" w:line="264"/>
        <w:jc w:val="both"/>
      </w:pPr>
      <w:r>
        <w:rPr>
          <w:rFonts w:ascii="Calibri" w:cs="Calibri" w:eastAsia="Calibri" w:hAnsi="Calibri"/>
          <w:sz w:val="22"/>
          <w:szCs w:val="22"/>
        </w:rPr>
        <w:t xml:space="preserve">The arrangement is non-exclusive. Each Party may work with other persons, provided it does not misuse confidential information, infringe intellectual property, misrepresent endorsement, or breach another express binding duty in this MOA.</w:t>
      </w:r>
    </w:p>
    <w:p>
      <w:pPr>
        <w:pStyle w:val="Heading2"/>
        <w:keepNext/>
        <w:spacing w:after="120" w:before="240"/>
      </w:pPr>
      <w:r>
        <w:rPr>
          <w:rFonts w:ascii="Calibri" w:cs="Calibri" w:eastAsia="Calibri" w:hAnsi="Calibri"/>
          <w:b/>
          <w:bCs/>
          <w:color w:val="102B3F"/>
          <w:sz w:val="26"/>
          <w:szCs w:val="26"/>
        </w:rPr>
        <w:t xml:space="preserve">13. PUBLICITY AND RELATIONSHIP</w:t>
      </w:r>
    </w:p>
    <w:p>
      <w:pPr>
        <w:keepLines/>
        <w:spacing w:after="120" w:line="264"/>
        <w:jc w:val="both"/>
      </w:pPr>
      <w:r>
        <w:rPr>
          <w:rFonts w:ascii="Calibri" w:cs="Calibri" w:eastAsia="Calibri" w:hAnsi="Calibri"/>
          <w:sz w:val="22"/>
          <w:szCs w:val="22"/>
        </w:rPr>
        <w:t xml:space="preserve">Neither Party may use the other Party's name, mark, logo, announcement, testimonial, case study, or public statement about the project without specific prior written approval for that use.</w:t>
      </w:r>
    </w:p>
    <w:p>
      <w:pPr>
        <w:keepLines/>
        <w:spacing w:after="120" w:line="264"/>
        <w:jc w:val="both"/>
      </w:pPr>
      <w:r>
        <w:rPr>
          <w:rFonts w:ascii="Calibri" w:cs="Calibri" w:eastAsia="Calibri" w:hAnsi="Calibri"/>
          <w:sz w:val="22"/>
          <w:szCs w:val="22"/>
        </w:rPr>
        <w:t xml:space="preserve">The Parties are independent. This MOA does not create employment, agency, partnership, joint venture, fiduciary relationship, franchise, or authority for one Party to bind, represent, borrow for, incur liability for, or make commitments in the name of the other, except for an authority expressly and validly granted in writing.</w:t>
      </w:r>
    </w:p>
    <w:p>
      <w:pPr>
        <w:keepLines/>
        <w:spacing w:after="120" w:line="264"/>
        <w:jc w:val="both"/>
      </w:pPr>
      <w:r>
        <w:rPr>
          <w:rFonts w:ascii="Calibri" w:cs="Calibri" w:eastAsia="Calibri" w:hAnsi="Calibri"/>
          <w:sz w:val="22"/>
          <w:szCs w:val="22"/>
        </w:rPr>
        <w:t xml:space="preserve">Each Party remains responsible for its personnel, permits, licenses, approvals, taxes, labor standards, privacy duties, sector rules, and lawful performance. A project decision cannot authorize an unlawful act.</w:t>
      </w:r>
    </w:p>
    <w:p>
      <w:pPr>
        <w:pStyle w:val="Heading2"/>
        <w:keepNext/>
        <w:spacing w:after="120" w:before="240"/>
      </w:pPr>
      <w:r>
        <w:rPr>
          <w:rFonts w:ascii="Calibri" w:cs="Calibri" w:eastAsia="Calibri" w:hAnsi="Calibri"/>
          <w:b/>
          <w:bCs/>
          <w:color w:val="102B3F"/>
          <w:sz w:val="26"/>
          <w:szCs w:val="26"/>
        </w:rPr>
        <w:t xml:space="preserve">14. TERMINATION AND TRANSITION</w:t>
      </w:r>
    </w:p>
    <w:p>
      <w:pPr>
        <w:keepLines/>
        <w:spacing w:after="120" w:line="264"/>
        <w:jc w:val="both"/>
      </w:pPr>
      <w:r>
        <w:rPr>
          <w:rFonts w:ascii="Calibri" w:cs="Calibri" w:eastAsia="Calibri" w:hAnsi="Calibri"/>
          <w:sz w:val="22"/>
          <w:szCs w:val="22"/>
        </w:rPr>
        <w:t xml:space="preserve">Either Party may terminate for convenience on 30 calendar days' written notice. A Party receiving detailed notice of a remediable material breach has 15 calendar days to cure or provide an accepted cure plan.</w:t>
      </w:r>
    </w:p>
    <w:p>
      <w:pPr>
        <w:keepLines/>
        <w:spacing w:after="120" w:line="264"/>
        <w:jc w:val="both"/>
      </w:pPr>
      <w:r>
        <w:rPr>
          <w:rFonts w:ascii="Calibri" w:cs="Calibri" w:eastAsia="Calibri" w:hAnsi="Calibri"/>
          <w:sz w:val="22"/>
          <w:szCs w:val="22"/>
        </w:rPr>
        <w:t xml:space="preserve">Immediate suspension or termination grounds: Material illegality, fraud, serious participant-safety or information-security risk, insolvency materially preventing performance, or an uncured material confidentiality or data-protection breach.</w:t>
      </w:r>
    </w:p>
    <w:p>
      <w:pPr>
        <w:keepLines/>
        <w:spacing w:after="120" w:line="264"/>
        <w:jc w:val="both"/>
      </w:pPr>
      <w:r>
        <w:rPr>
          <w:rFonts w:ascii="Calibri" w:cs="Calibri" w:eastAsia="Calibri" w:hAnsi="Calibri"/>
          <w:sz w:val="22"/>
          <w:szCs w:val="22"/>
        </w:rPr>
        <w:t xml:space="preserve">Exit and transition: Stop new enrollment and work safely, reconcile approved deliverables and expenses, return devices and access credentials, preserve required participant and accounting records, return or securely delete confidential information and personal data, and complete a ten-working-day transition report.</w:t>
      </w:r>
    </w:p>
    <w:p>
      <w:pPr>
        <w:keepLines/>
        <w:spacing w:after="120" w:line="264"/>
        <w:jc w:val="both"/>
      </w:pPr>
      <w:r>
        <w:rPr>
          <w:rFonts w:ascii="Calibri" w:cs="Calibri" w:eastAsia="Calibri" w:hAnsi="Calibri"/>
          <w:sz w:val="22"/>
          <w:szCs w:val="22"/>
        </w:rPr>
        <w:t xml:space="preserve">The following subjects survive only to the extent stated, binding, accrued, and legally applicable: confidentiality, intellectual property, data protection, costs and approved payments, liability, governing law and disputes, termination and survival. Termination does not erase accrued rights, completed payments, return duties, or liability for an earlier binding breach.</w:t>
      </w:r>
    </w:p>
    <w:p>
      <w:pPr>
        <w:pStyle w:val="Heading2"/>
        <w:keepNext/>
        <w:spacing w:after="120" w:before="240"/>
      </w:pPr>
      <w:r>
        <w:rPr>
          <w:rFonts w:ascii="Calibri" w:cs="Calibri" w:eastAsia="Calibri" w:hAnsi="Calibri"/>
          <w:b/>
          <w:bCs/>
          <w:color w:val="102B3F"/>
          <w:sz w:val="26"/>
          <w:szCs w:val="26"/>
        </w:rPr>
        <w:t xml:space="preserve">15. LIABILITY</w:t>
      </w:r>
    </w:p>
    <w:p>
      <w:pPr>
        <w:keepLines/>
        <w:spacing w:after="120" w:line="264"/>
        <w:jc w:val="both"/>
      </w:pPr>
      <w:r>
        <w:rPr>
          <w:rFonts w:ascii="Calibri" w:cs="Calibri" w:eastAsia="Calibri" w:hAnsi="Calibri"/>
          <w:sz w:val="22"/>
          <w:szCs w:val="22"/>
        </w:rPr>
        <w:t xml:space="preserve">A Party claiming breach must establish the obligation, breach, causation, and recoverable loss. Neither Party admits liability for speculative, remote, or unsupported loss; mandatory remedies and liabilities remain governed by applicable Philippine law.</w:t>
      </w:r>
    </w:p>
    <w:p>
      <w:pPr>
        <w:pStyle w:val="Heading2"/>
        <w:keepNext/>
        <w:spacing w:after="120" w:before="240"/>
      </w:pPr>
      <w:r>
        <w:rPr>
          <w:rFonts w:ascii="Calibri" w:cs="Calibri" w:eastAsia="Calibri" w:hAnsi="Calibri"/>
          <w:b/>
          <w:bCs/>
          <w:color w:val="102B3F"/>
          <w:sz w:val="26"/>
          <w:szCs w:val="26"/>
        </w:rPr>
        <w:t xml:space="preserve">16. GOVERNING LAW AND DISPUTES</w:t>
      </w:r>
    </w:p>
    <w:p>
      <w:pPr>
        <w:keepLines/>
        <w:spacing w:after="120" w:line="264"/>
        <w:jc w:val="both"/>
      </w:pPr>
      <w:r>
        <w:rPr>
          <w:rFonts w:ascii="Calibri" w:cs="Calibri" w:eastAsia="Calibri" w:hAnsi="Calibri"/>
          <w:sz w:val="22"/>
          <w:szCs w:val="22"/>
        </w:rPr>
        <w:t xml:space="preserve">Philippine law governs. Authorized representatives first negotiate in good faith for 30 calendar days after a detailed dispute notice. If unresolved, the Parties attempt voluntary mediation on mutually documented terms before litigation, unless urgent lawful relief is needed.</w:t>
      </w:r>
    </w:p>
    <w:p>
      <w:pPr>
        <w:keepLines/>
        <w:spacing w:after="120" w:line="264"/>
        <w:jc w:val="both"/>
      </w:pPr>
      <w:r>
        <w:rPr>
          <w:rFonts w:ascii="Calibri" w:cs="Calibri" w:eastAsia="Calibri" w:hAnsi="Calibri"/>
          <w:sz w:val="22"/>
          <w:szCs w:val="22"/>
        </w:rPr>
        <w:t xml:space="preserve">Any action arising from or relating to this MOA shall be filed exclusively in the proper courts of Makati City, to the exclusion of all other courts, without prejudice to barangay conciliation where the law requires it. Nothing prevents a Party from seeking urgent protective relief where legally available.</w:t>
      </w:r>
    </w:p>
    <w:p>
      <w:pPr>
        <w:pStyle w:val="Heading2"/>
        <w:keepNext/>
        <w:spacing w:after="120" w:before="240"/>
      </w:pPr>
      <w:r>
        <w:rPr>
          <w:rFonts w:ascii="Calibri" w:cs="Calibri" w:eastAsia="Calibri" w:hAnsi="Calibri"/>
          <w:b/>
          <w:bCs/>
          <w:color w:val="102B3F"/>
          <w:sz w:val="26"/>
          <w:szCs w:val="26"/>
        </w:rPr>
        <w:t xml:space="preserve">17. COMPLETE RECORD; CHANGES; SEVERABILITY</w:t>
      </w:r>
    </w:p>
    <w:p>
      <w:pPr>
        <w:keepLines/>
        <w:spacing w:after="120" w:line="264"/>
        <w:jc w:val="both"/>
      </w:pPr>
      <w:r>
        <w:rPr>
          <w:rFonts w:ascii="Calibri" w:cs="Calibri" w:eastAsia="Calibri" w:hAnsi="Calibri"/>
          <w:sz w:val="22"/>
          <w:szCs w:val="22"/>
        </w:rPr>
        <w:t xml:space="preserve">This MOA, its signed schedules, and documents expressly incorporated by title and version are the complete project record for the subjects they cover. If a conflict exists, a signed amendment identifying the affected clause controls; an email or meeting note does not amend the MOA unless the authorized representatives expressly approve it as an amendment.</w:t>
      </w:r>
    </w:p>
    <w:p>
      <w:pPr>
        <w:keepLines/>
        <w:spacing w:after="120" w:line="264"/>
        <w:jc w:val="both"/>
      </w:pPr>
      <w:r>
        <w:rPr>
          <w:rFonts w:ascii="Calibri" w:cs="Calibri" w:eastAsia="Calibri" w:hAnsi="Calibri"/>
          <w:sz w:val="22"/>
          <w:szCs w:val="22"/>
        </w:rPr>
        <w:t xml:space="preserve">If a provision is invalid or unenforceable, it is adjusted only to the minimum extent legally permitted and the remainder continues to the extent consistent with the Parties' expressed allocation. No failure or delay is a waiver unless the waiver is specific and written by the Party granting it.</w:t>
      </w:r>
    </w:p>
    <w:p>
      <w:pPr>
        <w:keepLines/>
        <w:spacing w:after="120" w:line="264"/>
        <w:jc w:val="both"/>
      </w:pPr>
      <w:r>
        <w:rPr>
          <w:rFonts w:ascii="Calibri" w:cs="Calibri" w:eastAsia="Calibri" w:hAnsi="Calibri"/>
          <w:sz w:val="22"/>
          <w:szCs w:val="22"/>
        </w:rPr>
        <w:t xml:space="preserve">The MOA may be signed in 2 counterparts. Each Party should retain a complete wet-ink signed original or controlled counterpart.</w:t>
      </w:r>
    </w:p>
    <w:p>
      <w:pPr>
        <w:keepNext/>
        <w:spacing w:after="260" w:before="360"/>
      </w:pPr>
      <w:r>
        <w:rPr>
          <w:rFonts w:ascii="Calibri" w:cs="Calibri" w:eastAsia="Calibri" w:hAnsi="Calibri"/>
          <w:b/>
          <w:bCs/>
          <w:sz w:val="22"/>
          <w:szCs w:val="22"/>
        </w:rPr>
        <w:t xml:space="preserve">IN WITNESS WHEREOF, the Parties execute this MOA through their authorized representatives: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FOR BAYANIHAN DIGITAL SERVICES, INC.</w:t>
            </w:r>
          </w:p>
          <w:p>
            <w:pPr>
              <w:spacing w:after="120"/>
            </w:pPr>
            <w:r>
              <w:rPr>
                <w:rFonts w:ascii="Calibri" w:cs="Calibri" w:eastAsia="Calibri" w:hAnsi="Calibri"/>
                <w:sz w:val="22"/>
                <w:szCs w:val="22"/>
              </w:rPr>
              <w:t xml:space="preserve">Andrea M. Reyes</w:t>
            </w:r>
          </w:p>
          <w:p>
            <w:pPr>
              <w:spacing w:after="120"/>
            </w:pPr>
            <w:r>
              <w:rPr>
                <w:rFonts w:ascii="Calibri" w:cs="Calibri" w:eastAsia="Calibri" w:hAnsi="Calibri"/>
                <w:sz w:val="22"/>
                <w:szCs w:val="22"/>
              </w:rPr>
              <w:t xml:space="preserve">Chief Operations Officer · authority: Board Resolution No. 2026-18 approved on 20 August 2026</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FOR LAKBAY COMMUNITY FOUNDATION, INC.</w:t>
            </w:r>
          </w:p>
          <w:p>
            <w:pPr>
              <w:spacing w:after="120"/>
            </w:pPr>
            <w:r>
              <w:rPr>
                <w:rFonts w:ascii="Calibri" w:cs="Calibri" w:eastAsia="Calibri" w:hAnsi="Calibri"/>
                <w:sz w:val="22"/>
                <w:szCs w:val="22"/>
              </w:rPr>
              <w:t xml:space="preserve">Marisol D. Cruz</w:t>
            </w:r>
          </w:p>
          <w:p>
            <w:pPr>
              <w:spacing w:after="120"/>
            </w:pPr>
            <w:r>
              <w:rPr>
                <w:rFonts w:ascii="Calibri" w:cs="Calibri" w:eastAsia="Calibri" w:hAnsi="Calibri"/>
                <w:sz w:val="22"/>
                <w:szCs w:val="22"/>
              </w:rPr>
              <w:t xml:space="preserve">Executive Director · authority: Board Resolution No. 14-2026 approved on 22 August 2026</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Witness for Party A: ______________________________</w:t>
            </w:r>
          </w:p>
          <w:p>
            <w:pPr>
              <w:spacing w:after="120"/>
            </w:pPr>
            <w:r>
              <w:rPr>
                <w:rFonts w:ascii="Calibri" w:cs="Calibri" w:eastAsia="Calibri" w:hAnsi="Calibri"/>
                <w:sz w:val="22"/>
                <w:szCs w:val="22"/>
              </w:rPr>
              <w:t xml:space="preserve">Printed name, signature, and date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Witness for Party B: ______________________________</w:t>
            </w:r>
          </w:p>
          <w:p>
            <w:pPr>
              <w:spacing w:after="120"/>
            </w:pPr>
            <w:r>
              <w:rPr>
                <w:rFonts w:ascii="Calibri" w:cs="Calibri" w:eastAsia="Calibri" w:hAnsi="Calibri"/>
                <w:sz w:val="22"/>
                <w:szCs w:val="22"/>
              </w:rPr>
              <w:t xml:space="preserve">Printed name, signature, and date</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Confirm that both sides intend the selected fully binding structure. Re-read every heading and operative verb; the title "MOA" alone does not decide enforceability.</w:t>
      </w:r>
    </w:p>
    <w:p>
      <w:pPr>
        <w:pStyle w:val="ListParagraph"/>
        <w:keepNext/>
        <w:numPr>
          <w:ilvl w:val="0"/>
          <w:numId w:val="1"/>
        </w:numPr>
        <w:spacing w:after="120" w:line="264"/>
      </w:pPr>
      <w:r>
        <w:rPr>
          <w:rFonts w:ascii="Calibri" w:cs="Calibri" w:eastAsia="Calibri" w:hAnsi="Calibri"/>
          <w:sz w:val="22"/>
          <w:szCs w:val="22"/>
        </w:rPr>
        <w:t xml:space="preserve">Verify each Party's complete legal name, registration, address, capacity, signatory identity, and current authority. Obtain the board resolution, bylaws provision, power of attorney, ownership record, or other authority evidence needed for this transaction.</w:t>
      </w:r>
    </w:p>
    <w:p>
      <w:pPr>
        <w:pStyle w:val="ListParagraph"/>
        <w:keepNext/>
        <w:numPr>
          <w:ilvl w:val="0"/>
          <w:numId w:val="1"/>
        </w:numPr>
        <w:spacing w:after="120" w:line="264"/>
      </w:pPr>
      <w:r>
        <w:rPr>
          <w:rFonts w:ascii="Calibri" w:cs="Calibri" w:eastAsia="Calibri" w:hAnsi="Calibri"/>
          <w:sz w:val="22"/>
          <w:szCs w:val="22"/>
        </w:rPr>
        <w:t xml:space="preserve">Reconcile the purpose, object, scope, exclusions, responsibilities, deliverables, dates, acceptance evidence, governance, and conditions. Remove vague commitments that the Parties cannot objectively verify or perform.</w:t>
      </w:r>
    </w:p>
    <w:p>
      <w:pPr>
        <w:pStyle w:val="ListParagraph"/>
        <w:keepNext/>
        <w:numPr>
          <w:ilvl w:val="0"/>
          <w:numId w:val="1"/>
        </w:numPr>
        <w:spacing w:after="120" w:line="264"/>
      </w:pPr>
      <w:r>
        <w:rPr>
          <w:rFonts w:ascii="Calibri" w:cs="Calibri" w:eastAsia="Calibri" w:hAnsi="Calibri"/>
          <w:sz w:val="22"/>
          <w:szCs w:val="22"/>
        </w:rPr>
        <w:t xml:space="preserve">Do not infer a funding, reimbursement, procurement, loan, guarantee, or revenue-sharing duty where the MOA expressly creates none.</w:t>
      </w:r>
    </w:p>
    <w:p>
      <w:pPr>
        <w:pStyle w:val="ListParagraph"/>
        <w:keepNext/>
        <w:numPr>
          <w:ilvl w:val="0"/>
          <w:numId w:val="1"/>
        </w:numPr>
        <w:spacing w:after="120" w:line="264"/>
      </w:pPr>
      <w:r>
        <w:rPr>
          <w:rFonts w:ascii="Calibri" w:cs="Calibri" w:eastAsia="Calibri" w:hAnsi="Calibri"/>
          <w:sz w:val="22"/>
          <w:szCs w:val="22"/>
        </w:rPr>
        <w:t xml:space="preserve">Do not start personal-data flows until the role-specific DSA/DPA and verified operational controls are complete. Confirm lawful basis, notices, minimization, security, subcontractors, locations, retention, rights handling, incident contacts, return/deletion, and accountability.</w:t>
      </w:r>
    </w:p>
    <w:p>
      <w:pPr>
        <w:pStyle w:val="ListParagraph"/>
        <w:keepNext/>
        <w:numPr>
          <w:ilvl w:val="0"/>
          <w:numId w:val="1"/>
        </w:numPr>
        <w:spacing w:after="120" w:line="264"/>
      </w:pPr>
      <w:r>
        <w:rPr>
          <w:rFonts w:ascii="Calibri" w:cs="Calibri" w:eastAsia="Calibri" w:hAnsi="Calibri"/>
          <w:sz w:val="22"/>
          <w:szCs w:val="22"/>
        </w:rPr>
        <w:t xml:space="preserve">Preserve the final signed schedules and every incorporated document by exact title, date, and version. Apply later changes only through the authorized written-change process; keep a version and approval history.</w:t>
      </w:r>
    </w:p>
    <w:p>
      <w:pPr>
        <w:pStyle w:val="ListParagraph"/>
        <w:keepNext/>
        <w:numPr>
          <w:ilvl w:val="0"/>
          <w:numId w:val="1"/>
        </w:numPr>
        <w:spacing w:after="120" w:line="264"/>
      </w:pPr>
      <w:r>
        <w:rPr>
          <w:rFonts w:ascii="Calibri" w:cs="Calibri" w:eastAsia="Calibri" w:hAnsi="Calibri"/>
          <w:sz w:val="22"/>
          <w:szCs w:val="22"/>
        </w:rPr>
        <w:t xml:space="preserve">Prepare 2 complete controlled counterparts; initial material schedules if desired, sign consistently, date the final signatures, and give each Party a complete copy.</w:t>
      </w:r>
    </w:p>
    <w:p>
      <w:pPr>
        <w:pStyle w:val="ListParagraph"/>
        <w:keepNext/>
        <w:numPr>
          <w:ilvl w:val="0"/>
          <w:numId w:val="1"/>
        </w:numPr>
        <w:spacing w:after="120" w:line="264"/>
      </w:pPr>
      <w:r>
        <w:rPr>
          <w:rFonts w:ascii="Calibri" w:cs="Calibri" w:eastAsia="Calibri" w:hAnsi="Calibri"/>
          <w:sz w:val="22"/>
          <w:szCs w:val="22"/>
        </w:rPr>
        <w:t xml:space="preserve">Notarization is not added merely for appearance. Confirm whether the transaction, incorporated instrument, recipient, registration office, funder, or evidentiary plan requires a public document, acknowledgment, filing, or another special form.</w:t>
      </w:r>
    </w:p>
    <w:p>
      <w:pPr>
        <w:pStyle w:val="ListParagraph"/>
        <w:keepNext w:val="false"/>
        <w:numPr>
          <w:ilvl w:val="0"/>
          <w:numId w:val="1"/>
        </w:numPr>
        <w:spacing w:after="120" w:line="264"/>
      </w:pPr>
      <w:r>
        <w:rPr>
          <w:rFonts w:ascii="Calibri" w:cs="Calibri" w:eastAsia="Calibri" w:hAnsi="Calibri"/>
          <w:sz w:val="22"/>
          <w:szCs w:val="22"/>
        </w:rPr>
        <w:t xml:space="preserve">Escalate before signing if the project involves land, employment, a joint venture or partnership, government funds or procurement, lending or security, securities or investment, regulated professional activity, cross-border data or parties, exclusive IP transfer, competition restraints, minors, public authority, or another special statutory form.</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Engineering draft · independent Philippine contract-lawyer review pending | Last legal check 2026-10-01 | Next review due 2026-11-30</w:t>
      </w:r>
    </w:p>
    <w:p>
      <w:pPr>
        <w:keepNext/>
        <w:spacing w:after="60" w:before="100"/>
      </w:pPr>
      <w:r>
        <w:rPr>
          <w:rFonts w:ascii="Calibri" w:cs="Calibri" w:eastAsia="Calibri" w:hAnsi="Calibri"/>
          <w:b/>
          <w:bCs/>
          <w:sz w:val="18"/>
          <w:szCs w:val="18"/>
        </w:rPr>
        <w:t xml:space="preserve">Republic Act No. 386 — Civil Code of the Philippines - Articles 1159, 1305–1319 (Art. 1305 contract defined; Art. 1318 essential requisites of consent, object, and cause; Art. 1319 consent by meeting of offer and acceptance), 1347–1358, and 1370–1379 — force of contracts, mutuality, authority, essential requisites, lawful object and cause, form, and interpretation (checked 2026-10-01)</w:t>
      </w:r>
    </w:p>
    <w:p>
      <w:pPr>
        <w:spacing w:after="120"/>
      </w:pPr>
      <w:hyperlink w:history="1" r:id="rId877x5w_rby762xzoc2ylr">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Excellent Quality Apparel, Inc. v. Win Multi Rich Builders, Inc., G.R. No. 175048, February 10, 2009 - A sole proprietorship has no juridical personality separate from its owner; the owner is the contracting party (checked 2026-10-01)</w:t>
      </w:r>
    </w:p>
    <w:p>
      <w:pPr>
        <w:spacing w:after="120"/>
      </w:pPr>
      <w:hyperlink w:history="1" r:id="rIdanzig_t2vdoahica_il61">
        <w:r>
          <w:rPr>
            <w:rFonts w:ascii="Calibri" w:cs="Calibri" w:eastAsia="Calibri" w:hAnsi="Calibri"/>
            <w:color w:val="315B75"/>
            <w:sz w:val="17"/>
            <w:szCs w:val="17"/>
            <w:u w:val="single"/>
          </w:rPr>
          <w:t xml:space="preserve">https://lawphil.net/judjuris/juri2009/feb2009/gr_175048_2009.html</w:t>
        </w:r>
      </w:hyperlink>
    </w:p>
    <w:p>
      <w:pPr>
        <w:keepNext/>
        <w:spacing w:after="60" w:before="100"/>
      </w:pPr>
      <w:r>
        <w:rPr>
          <w:rFonts w:ascii="Calibri" w:cs="Calibri" w:eastAsia="Calibri" w:hAnsi="Calibri"/>
          <w:b/>
          <w:bCs/>
          <w:sz w:val="18"/>
          <w:szCs w:val="18"/>
        </w:rPr>
        <w:t xml:space="preserve">Rules of Court, Rule 4 (Venue of Actions); Sps. Lantin v. Lantion, G.R. No. 160053, August 28, 2006 - Rule 4, Sec. 4(b): parties may agree in writing on an exclusive venue; without restrictive words a venue stipulation is only an additional forum (checked 2026-10-01)</w:t>
      </w:r>
    </w:p>
    <w:p>
      <w:pPr>
        <w:spacing w:after="120"/>
      </w:pPr>
      <w:hyperlink w:history="1" r:id="rIdaztsyznkaypwevcwbsudf">
        <w:r>
          <w:rPr>
            <w:rFonts w:ascii="Calibri" w:cs="Calibri" w:eastAsia="Calibri" w:hAnsi="Calibri"/>
            <w:color w:val="315B75"/>
            <w:sz w:val="17"/>
            <w:szCs w:val="17"/>
            <w:u w:val="single"/>
          </w:rPr>
          <w:t xml:space="preserve">https://lawphil.net/judjuris/juri2006/aug2006/gr_160053_2006.html</w:t>
        </w:r>
      </w:hyperlink>
    </w:p>
    <w:p>
      <w:pPr>
        <w:keepNext/>
        <w:spacing w:after="60" w:before="100"/>
      </w:pPr>
      <w:r>
        <w:rPr>
          <w:rFonts w:ascii="Calibri" w:cs="Calibri" w:eastAsia="Calibri" w:hAnsi="Calibri"/>
          <w:b/>
          <w:bCs/>
          <w:sz w:val="18"/>
          <w:szCs w:val="18"/>
        </w:rPr>
        <w:t xml:space="preserve">2004 Rules on Notarial Practice, A.M. No. 02-8-13-SC, as amended by the Supreme Court Resolution of March 4, 2025 - Rule II, Sec. 1 (acknowledgment, including the representative's authority to sign in that capacity); Rule III, Sec. 11 (place of notarial acts); Rule VIII, Sec. 2 (contents of the notarial certificate) (checked 2026-10-01)</w:t>
      </w:r>
    </w:p>
    <w:p>
      <w:pPr>
        <w:spacing w:after="120"/>
      </w:pPr>
      <w:hyperlink w:history="1" r:id="rIdn6ptlrl5hnl7ihkbakclf">
        <w:r>
          <w:rPr>
            <w:rFonts w:ascii="Calibri" w:cs="Calibri" w:eastAsia="Calibri" w:hAnsi="Calibri"/>
            <w:color w:val="315B75"/>
            <w:sz w:val="17"/>
            <w:szCs w:val="17"/>
            <w:u w:val="single"/>
          </w:rPr>
          <w:t xml:space="preserve">https://sc.judiciary.gov.ph/wp-content/uploads/2025/06/Amended-2004-Notarial-Rules.pdf</w:t>
        </w:r>
      </w:hyperlink>
    </w:p>
    <w:p>
      <w:pPr>
        <w:keepNext/>
        <w:spacing w:after="60" w:before="100"/>
      </w:pPr>
      <w:r>
        <w:rPr>
          <w:rFonts w:ascii="Calibri" w:cs="Calibri" w:eastAsia="Calibri" w:hAnsi="Calibri"/>
          <w:b/>
          <w:bCs/>
          <w:sz w:val="18"/>
          <w:szCs w:val="18"/>
        </w:rPr>
        <w:t xml:space="preserve">Cruz v. Court of Appeals - G.R. No. 126713, 27 July 1998 — clear contractual language and expressed intention control (checked 2026-08-30)</w:t>
      </w:r>
    </w:p>
    <w:p>
      <w:pPr>
        <w:spacing w:after="120"/>
      </w:pPr>
      <w:hyperlink w:history="1" r:id="rIdyieimcmlugetexyllalve">
        <w:r>
          <w:rPr>
            <w:rFonts w:ascii="Calibri" w:cs="Calibri" w:eastAsia="Calibri" w:hAnsi="Calibri"/>
            <w:color w:val="315B75"/>
            <w:sz w:val="17"/>
            <w:szCs w:val="17"/>
            <w:u w:val="single"/>
          </w:rPr>
          <w:t xml:space="preserve">https://elibrary.judiciary.gov.ph/thebookshelf/showdocs/1/36066</w:t>
        </w:r>
      </w:hyperlink>
    </w:p>
    <w:p>
      <w:pPr>
        <w:keepNext/>
        <w:spacing w:after="60" w:before="100"/>
      </w:pPr>
      <w:r>
        <w:rPr>
          <w:rFonts w:ascii="Calibri" w:cs="Calibri" w:eastAsia="Calibri" w:hAnsi="Calibri"/>
          <w:b/>
          <w:bCs/>
          <w:sz w:val="18"/>
          <w:szCs w:val="18"/>
        </w:rPr>
        <w:t xml:space="preserve">Republic Act No. 8792 — Electronic Commerce Act of 2000 - Sections 6–8 and 16–18 — legal recognition, authentication, electronic signatures, formation, and attribution of electronic contracts (checked 2026-08-30)</w:t>
      </w:r>
    </w:p>
    <w:p>
      <w:pPr>
        <w:spacing w:after="120"/>
      </w:pPr>
      <w:hyperlink w:history="1" r:id="rIdagaeznugwh6kxcckmikks">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Republic Act No. 11232 — Revised Corporation Code - Sections 22, 24, 31, and 35 — board powers, officers, related-party contracts, corporate capacity, and commercial agreements (checked 2026-08-30)</w:t>
      </w:r>
    </w:p>
    <w:p>
      <w:pPr>
        <w:spacing w:after="120"/>
      </w:pPr>
      <w:hyperlink w:history="1" r:id="rIdpkltbfcr-zwagblwlwmmt">
        <w:r>
          <w:rPr>
            <w:rFonts w:ascii="Calibri" w:cs="Calibri" w:eastAsia="Calibri" w:hAnsi="Calibri"/>
            <w:color w:val="315B75"/>
            <w:sz w:val="17"/>
            <w:szCs w:val="17"/>
            <w:u w:val="single"/>
          </w:rPr>
          <w:t xml:space="preserve">https://lawphil.net/statutes/repacts/ra2019/ra_11232_2019.html</w:t>
        </w:r>
      </w:hyperlink>
    </w:p>
    <w:p>
      <w:pPr>
        <w:keepNext/>
        <w:spacing w:after="60" w:before="100"/>
      </w:pPr>
      <w:r>
        <w:rPr>
          <w:rFonts w:ascii="Calibri" w:cs="Calibri" w:eastAsia="Calibri" w:hAnsi="Calibri"/>
          <w:b/>
          <w:bCs/>
          <w:sz w:val="18"/>
          <w:szCs w:val="18"/>
        </w:rPr>
        <w:t xml:space="preserve">Republic Act No. 10173 — Data Privacy Act of 2012 - Sections 11–14, 20, and 21 — transparency, legitimate purpose, proportionality, lawful processing, outsourced processing, security, and accountability for personal information transferred to third parties (checked 2026-10-01)</w:t>
      </w:r>
    </w:p>
    <w:p>
      <w:pPr>
        <w:spacing w:after="120"/>
      </w:pPr>
      <w:hyperlink w:history="1" r:id="rIdzuiqcufcdmxd1tnqhx6os">
        <w:r>
          <w:rPr>
            <w:rFonts w:ascii="Calibri" w:cs="Calibri" w:eastAsia="Calibri" w:hAnsi="Calibri"/>
            <w:color w:val="315B75"/>
            <w:sz w:val="17"/>
            <w:szCs w:val="17"/>
            <w:u w:val="single"/>
          </w:rPr>
          <w:t xml:space="preserve">https://privacy.gov.ph/data-privacy-act/</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77x5w_rby762xzoc2ylr" Type="http://schemas.openxmlformats.org/officeDocument/2006/relationships/hyperlink" Target="https://lawphil.net/statutes/repacts/ra1949/ra_386_1949.html" TargetMode="External"/><Relationship Id="rIdanzig_t2vdoahica_il61" Type="http://schemas.openxmlformats.org/officeDocument/2006/relationships/hyperlink" Target="https://lawphil.net/judjuris/juri2009/feb2009/gr_175048_2009.html" TargetMode="External"/><Relationship Id="rIdaztsyznkaypwevcwbsudf" Type="http://schemas.openxmlformats.org/officeDocument/2006/relationships/hyperlink" Target="https://lawphil.net/judjuris/juri2006/aug2006/gr_160053_2006.html" TargetMode="External"/><Relationship Id="rIdn6ptlrl5hnl7ihkbakclf" Type="http://schemas.openxmlformats.org/officeDocument/2006/relationships/hyperlink" Target="https://sc.judiciary.gov.ph/wp-content/uploads/2025/06/Amended-2004-Notarial-Rules.pdf" TargetMode="External"/><Relationship Id="rIdyieimcmlugetexyllalve" Type="http://schemas.openxmlformats.org/officeDocument/2006/relationships/hyperlink" Target="https://elibrary.judiciary.gov.ph/thebookshelf/showdocs/1/36066" TargetMode="External"/><Relationship Id="rIdagaeznugwh6kxcckmikks" Type="http://schemas.openxmlformats.org/officeDocument/2006/relationships/hyperlink" Target="https://lawphil.net/statutes/repacts/ra2000/ra_8792_2000.html" TargetMode="External"/><Relationship Id="rIdpkltbfcr-zwagblwlwmmt" Type="http://schemas.openxmlformats.org/officeDocument/2006/relationships/hyperlink" Target="https://lawphil.net/statutes/repacts/ra2019/ra_11232_2019.html" TargetMode="External"/><Relationship Id="rIdzuiqcufcdmxd1tnqhx6os" Type="http://schemas.openxmlformats.org/officeDocument/2006/relationships/hyperlink" Target="https://privacy.gov.ph/data-privacy-act/"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Agreement</dc:title>
  <dc:creator>LAW.PH</dc:creator>
  <dc:description>Free sample of the Memorandum of Agreement from LAW.PH, with fictional details</dc:description>
  <cp:lastModifiedBy>Un-named</cp:lastModifiedBy>
  <cp:revision>1</cp:revision>
  <dcterms:created xsi:type="dcterms:W3CDTF">2026-10-02T05:29:58.277Z</dcterms:created>
  <dcterms:modified xsi:type="dcterms:W3CDTF">2026-10-02T05:29:58.277Z</dcterms:modified>
</cp:coreProperties>
</file>

<file path=docProps/custom.xml><?xml version="1.0" encoding="utf-8"?>
<Properties xmlns="http://schemas.openxmlformats.org/officeDocument/2006/custom-properties" xmlns:vt="http://schemas.openxmlformats.org/officeDocument/2006/docPropsVTypes"/>
</file>