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NOTICE OF CONTRACT BREACH AND OPPORTUNITY TO CURE</w:t>
      </w:r>
    </w:p>
    <w:p>
      <w:pPr>
        <w:spacing w:after="160"/>
        <w:jc w:val="center"/>
      </w:pPr>
      <w:r>
        <w:rPr>
          <w:rFonts w:ascii="Calibri" w:cs="Calibri" w:eastAsia="Calibri" w:hAnsi="Calibri"/>
          <w:color w:val="566674"/>
          <w:sz w:val="18"/>
          <w:szCs w:val="18"/>
        </w:rPr>
        <w:t xml:space="preserve">services · Initial notice and opportunity to cure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contract-lawyer review pending</w:t>
      </w:r>
    </w:p>
    <w:p>
      <w:pPr>
        <w:keepLines/>
        <w:spacing w:after="120" w:line="264"/>
        <w:jc w:val="both"/>
      </w:pPr>
      <w:r>
        <w:rPr>
          <w:rFonts w:ascii="Calibri" w:cs="Calibri" w:eastAsia="Calibri" w:hAnsi="Calibri"/>
          <w:sz w:val="22"/>
          <w:szCs w:val="22"/>
        </w:rPr>
        <w:t xml:space="preserve">Date: August 31, 2026</w:t>
      </w:r>
    </w:p>
    <w:p>
      <w:pPr>
        <w:keepLines/>
        <w:spacing w:after="120" w:line="264"/>
        <w:jc w:val="both"/>
      </w:pPr>
      <w:r>
        <w:rPr>
          <w:rFonts w:ascii="Calibri" w:cs="Calibri" w:eastAsia="Calibri" w:hAnsi="Calibri"/>
          <w:sz w:val="22"/>
          <w:szCs w:val="22"/>
        </w:rPr>
        <w:t xml:space="preserve">To: Sampaguita Systems Corporation, Contract notices office (client)
Sampaguita Systems Corporation
12/F Meridian Corporate Center, Taguig City 1634</w:t>
      </w:r>
    </w:p>
    <w:p>
      <w:pPr>
        <w:keepLines/>
        <w:spacing w:after="120" w:line="264"/>
        <w:jc w:val="both"/>
      </w:pPr>
      <w:r>
        <w:rPr>
          <w:rFonts w:ascii="Calibri" w:cs="Calibri" w:eastAsia="Calibri" w:hAnsi="Calibri"/>
          <w:sz w:val="22"/>
          <w:szCs w:val="22"/>
        </w:rPr>
        <w:t xml:space="preserve">From: Bayanihan Digital Services, Inc., Service provider
Bayanihan Digital Services, Inc.
18/F One Ayala Tower, Makati City 1226</w:t>
      </w:r>
    </w:p>
    <w:p>
      <w:pPr>
        <w:keepLines/>
        <w:spacing w:after="120" w:line="264"/>
        <w:jc w:val="both"/>
      </w:pPr>
      <w:r>
        <w:rPr>
          <w:rFonts w:ascii="Calibri" w:cs="Calibri" w:eastAsia="Calibri" w:hAnsi="Calibri"/>
          <w:sz w:val="22"/>
          <w:szCs w:val="22"/>
        </w:rPr>
        <w:t xml:space="preserve">Subject: Initial notice and opportunity to cure under Managed Software Support Services Agreement</w:t>
      </w:r>
    </w:p>
    <w:p>
      <w:pPr>
        <w:pStyle w:val="Heading2"/>
        <w:keepNext/>
        <w:spacing w:after="120" w:before="240"/>
      </w:pPr>
      <w:r>
        <w:rPr>
          <w:rFonts w:ascii="Calibri" w:cs="Calibri" w:eastAsia="Calibri" w:hAnsi="Calibri"/>
          <w:b/>
          <w:bCs/>
          <w:color w:val="102B3F"/>
          <w:sz w:val="26"/>
          <w:szCs w:val="26"/>
        </w:rPr>
        <w:t xml:space="preserve">1. Agreement and notice basis</w:t>
      </w:r>
    </w:p>
    <w:p>
      <w:pPr>
        <w:keepLines/>
        <w:spacing w:after="120" w:line="264"/>
        <w:jc w:val="both"/>
      </w:pPr>
      <w:r>
        <w:rPr>
          <w:rFonts w:ascii="Calibri" w:cs="Calibri" w:eastAsia="Calibri" w:hAnsi="Calibri"/>
          <w:sz w:val="22"/>
          <w:szCs w:val="22"/>
        </w:rPr>
        <w:t xml:space="preserve">This notice concerns the Managed Software Support Services Agreement dated February 15, 2026, reference MSS-2026-014, between the parties identified above. The obligation relied upon is: Section 6.1 and Schedule C require the client to pay each undisputed monthly support invoice within fifteen days after acceptance of the month's support services.</w:t>
      </w:r>
    </w:p>
    <w:p>
      <w:pPr>
        <w:keepLines/>
        <w:spacing w:after="120" w:line="264"/>
        <w:jc w:val="both"/>
      </w:pPr>
      <w:r>
        <w:rPr>
          <w:rFonts w:ascii="Calibri" w:cs="Calibri" w:eastAsia="Calibri" w:hAnsi="Calibri"/>
          <w:sz w:val="22"/>
          <w:szCs w:val="22"/>
        </w:rPr>
        <w:t xml:space="preserve">The complete notice and cure provision reviewed for this notice states: Section 15 requires notices to the named contract offices by personal delivery, trackable courier, and the designated contract email; notice is effective on actual receipt and allows ten calendar days to cure.</w:t>
      </w:r>
    </w:p>
    <w:p>
      <w:pPr>
        <w:keepLines/>
        <w:spacing w:after="120" w:line="264"/>
        <w:jc w:val="both"/>
      </w:pPr>
      <w:r>
        <w:rPr>
          <w:rFonts w:ascii="Calibri" w:cs="Calibri" w:eastAsia="Calibri" w:hAnsi="Calibri"/>
          <w:sz w:val="22"/>
          <w:szCs w:val="22"/>
        </w:rPr>
        <w:t xml:space="preserve">Verified service methods: personal, courier, contract email. Notice-effect rule: actual receipt. Minimum contractual cure period recorded: 10 day(s).</w:t>
      </w:r>
    </w:p>
    <w:p>
      <w:pPr>
        <w:pStyle w:val="Heading2"/>
        <w:keepNext/>
        <w:spacing w:after="120" w:before="240"/>
      </w:pPr>
      <w:r>
        <w:rPr>
          <w:rFonts w:ascii="Calibri" w:cs="Calibri" w:eastAsia="Calibri" w:hAnsi="Calibri"/>
          <w:b/>
          <w:bCs/>
          <w:color w:val="102B3F"/>
          <w:sz w:val="26"/>
          <w:szCs w:val="26"/>
        </w:rPr>
        <w:t xml:space="preserve">2. Specific alleged breach</w:t>
      </w:r>
    </w:p>
    <w:p>
      <w:pPr>
        <w:keepLines/>
        <w:spacing w:after="120" w:line="264"/>
        <w:jc w:val="both"/>
      </w:pPr>
      <w:r>
        <w:rPr>
          <w:rFonts w:ascii="Calibri" w:cs="Calibri" w:eastAsia="Calibri" w:hAnsi="Calibri"/>
          <w:sz w:val="22"/>
          <w:szCs w:val="22"/>
        </w:rPr>
        <w:t xml:space="preserve">The claimant gives formal notice of an alleged failure to pay breach. The specific facts presently relied upon are: Invoice INV-2026-071 for the accepted July support services became due on 15 August 2026. No payment was received by 31 August 2026 despite the 18 August account reminder, and the service acceptance record remains undisputed.</w:t>
      </w:r>
    </w:p>
    <w:p>
      <w:pPr>
        <w:keepLines/>
        <w:spacing w:after="120" w:line="264"/>
        <w:jc w:val="both"/>
      </w:pPr>
      <w:r>
        <w:rPr>
          <w:rFonts w:ascii="Calibri" w:cs="Calibri" w:eastAsia="Calibri" w:hAnsi="Calibri"/>
          <w:sz w:val="22"/>
          <w:szCs w:val="22"/>
        </w:rPr>
        <w:t xml:space="preserve">Supporting evidence presently identified: Signed agreement and Schedule B, July acceptance certificate, BIR Invoice INV-2026-071, account ledger, bank records, and the complete 18 August reminder email.</w:t>
      </w:r>
    </w:p>
    <w:p>
      <w:pPr>
        <w:keepLines/>
        <w:spacing w:after="120" w:line="264"/>
        <w:jc w:val="both"/>
      </w:pPr>
      <w:r>
        <w:rPr>
          <w:rFonts w:ascii="Calibri" w:cs="Calibri" w:eastAsia="Calibri" w:hAnsi="Calibri"/>
          <w:sz w:val="22"/>
          <w:szCs w:val="22"/>
        </w:rPr>
        <w:t xml:space="preserve">Claimant's reciprocal performance, tender, readiness, and remaining duties: The claimant delivered and documented the accepted July support services, issued the required invoice, maintained the agreed response capability, and remains ready to perform unaffected duties.</w:t>
      </w:r>
    </w:p>
    <w:p>
      <w:pPr>
        <w:keepLines/>
        <w:spacing w:after="120" w:line="264"/>
        <w:jc w:val="both"/>
      </w:pPr>
      <w:r>
        <w:rPr>
          <w:rFonts w:ascii="Calibri" w:cs="Calibri" w:eastAsia="Calibri" w:hAnsi="Calibri"/>
          <w:sz w:val="22"/>
          <w:szCs w:val="22"/>
        </w:rPr>
        <w:t xml:space="preserve">No recipient position is represented as known in this notice; the cure and response process remains open.</w:t>
      </w:r>
    </w:p>
    <w:p>
      <w:pPr>
        <w:keepLines/>
        <w:spacing w:after="120" w:line="264"/>
        <w:jc w:val="both"/>
      </w:pPr>
      <w:r>
        <w:rPr>
          <w:rFonts w:ascii="Calibri" w:cs="Calibri" w:eastAsia="Calibri" w:hAnsi="Calibri"/>
          <w:sz w:val="22"/>
          <w:szCs w:val="22"/>
        </w:rPr>
        <w:t xml:space="preserve">The claimant has not waived the obligation identified above. Any earlier extension, accommodation, or acceptance of performance was limited to its own terms and does not waive this obligation or the rights reserved in this notice.</w:t>
      </w:r>
    </w:p>
    <w:p>
      <w:pPr>
        <w:pStyle w:val="Heading2"/>
        <w:keepNext/>
        <w:spacing w:after="120" w:before="240"/>
      </w:pPr>
      <w:r>
        <w:rPr>
          <w:rFonts w:ascii="Calibri" w:cs="Calibri" w:eastAsia="Calibri" w:hAnsi="Calibri"/>
          <w:b/>
          <w:bCs/>
          <w:color w:val="102B3F"/>
          <w:sz w:val="26"/>
          <w:szCs w:val="26"/>
        </w:rPr>
        <w:t xml:space="preserve">3. Reconciled monetary component</w:t>
      </w:r>
    </w:p>
    <w:p>
      <w:pPr>
        <w:keepLines/>
        <w:spacing w:after="120" w:line="264"/>
        <w:jc w:val="both"/>
      </w:pPr>
      <w:r>
        <w:rPr>
          <w:rFonts w:ascii="Calibri" w:cs="Calibri" w:eastAsia="Calibri" w:hAnsi="Calibri"/>
          <w:sz w:val="22"/>
          <w:szCs w:val="22"/>
        </w:rPr>
        <w:t xml:space="preserve">Claimed principal due: ₱100,000.00. Supported written or legal interest and charges: ₱5,000.00. Payments and credits applied: ₱25,000.00. Claimed balance for this notice: ₱80,000.00.</w:t>
      </w:r>
    </w:p>
    <w:p>
      <w:pPr>
        <w:keepLines/>
        <w:spacing w:after="120" w:line="264"/>
        <w:jc w:val="both"/>
      </w:pPr>
      <w:r>
        <w:rPr>
          <w:rFonts w:ascii="Calibri" w:cs="Calibri" w:eastAsia="Calibri" w:hAnsi="Calibri"/>
          <w:sz w:val="22"/>
          <w:szCs w:val="22"/>
        </w:rPr>
        <w:t xml:space="preserve">Ledger and computation: 15 August 2026 principal due PHP 100,000.00; supported written charge through 31 August PHP 5,000.00; 20 August credit PHP 25,000.00; claimed balance PHP 80,000.00.</w:t>
      </w:r>
    </w:p>
    <w:p>
      <w:pPr>
        <w:keepLines/>
        <w:spacing w:after="120" w:line="264"/>
        <w:jc w:val="both"/>
      </w:pPr>
      <w:r>
        <w:rPr>
          <w:rFonts w:ascii="Calibri" w:cs="Calibri" w:eastAsia="Calibri" w:hAnsi="Calibri"/>
          <w:sz w:val="22"/>
          <w:szCs w:val="22"/>
        </w:rPr>
        <w:t xml:space="preserve">No existing monetary dispute is represented as known; the recipient may nevertheless identify any specific error or omitted credit with supporting records during the cure period.</w:t>
      </w:r>
    </w:p>
    <w:p>
      <w:pPr>
        <w:pStyle w:val="Heading2"/>
        <w:keepNext/>
        <w:spacing w:after="120" w:before="240"/>
      </w:pPr>
      <w:r>
        <w:rPr>
          <w:rFonts w:ascii="Calibri" w:cs="Calibri" w:eastAsia="Calibri" w:hAnsi="Calibri"/>
          <w:b/>
          <w:bCs/>
          <w:color w:val="102B3F"/>
          <w:sz w:val="26"/>
          <w:szCs w:val="26"/>
        </w:rPr>
        <w:t xml:space="preserve">4. Required cure and response</w:t>
      </w:r>
    </w:p>
    <w:p>
      <w:pPr>
        <w:keepLines/>
        <w:spacing w:after="120" w:line="264"/>
        <w:jc w:val="both"/>
      </w:pPr>
      <w:r>
        <w:rPr>
          <w:rFonts w:ascii="Calibri" w:cs="Calibri" w:eastAsia="Calibri" w:hAnsi="Calibri"/>
          <w:sz w:val="22"/>
          <w:szCs w:val="22"/>
        </w:rPr>
        <w:t xml:space="preserve">To cure the alleged breach, complete the following measurable actions: Pay the reconciled PHP 80,000.00 claimed balance through the contract payment account and identify any disputed ledger entry with supporting records.</w:t>
      </w:r>
    </w:p>
    <w:p>
      <w:pPr>
        <w:keepLines/>
        <w:spacing w:after="120" w:line="264"/>
        <w:jc w:val="both"/>
      </w:pPr>
      <w:r>
        <w:rPr>
          <w:rFonts w:ascii="Calibri" w:cs="Calibri" w:eastAsia="Calibri" w:hAnsi="Calibri"/>
          <w:sz w:val="22"/>
          <w:szCs w:val="22"/>
        </w:rPr>
        <w:t xml:space="preserve">Provide the following completion evidence or written response: Cleared-funds record or a specific written response with the supporting ledger, credit, and contractual basis. Response and cure-delivery channel: Send the response and cure evidence to contracts@bayanihan.example and the physical notice address above.</w:t>
      </w:r>
    </w:p>
    <w:p>
      <w:pPr>
        <w:keepLines/>
        <w:spacing w:after="120" w:line="264"/>
        <w:jc w:val="both"/>
      </w:pPr>
      <w:r>
        <w:rPr>
          <w:rFonts w:ascii="Calibri" w:cs="Calibri" w:eastAsia="Calibri" w:hAnsi="Calibri"/>
          <w:sz w:val="22"/>
          <w:szCs w:val="22"/>
        </w:rPr>
        <w:t xml:space="preserve">The cure period is 10 calendar days beginning from actual receipt. The deadline runs only from the verified service event; the printed date of this notice alone does not shorten the period.</w:t>
      </w:r>
    </w:p>
    <w:p>
      <w:pPr>
        <w:pStyle w:val="Heading2"/>
        <w:keepNext/>
        <w:spacing w:after="120" w:before="240"/>
      </w:pPr>
      <w:r>
        <w:rPr>
          <w:rFonts w:ascii="Calibri" w:cs="Calibri" w:eastAsia="Calibri" w:hAnsi="Calibri"/>
          <w:b/>
          <w:bCs/>
          <w:color w:val="102B3F"/>
          <w:sz w:val="26"/>
          <w:szCs w:val="26"/>
        </w:rPr>
        <w:t xml:space="preserve">5. Conditional next steps and rights preserved</w:t>
      </w:r>
    </w:p>
    <w:p>
      <w:pPr>
        <w:keepLines/>
        <w:spacing w:after="120" w:line="264"/>
        <w:jc w:val="both"/>
      </w:pPr>
      <w:r>
        <w:rPr>
          <w:rFonts w:ascii="Calibri" w:cs="Calibri" w:eastAsia="Calibri" w:hAnsi="Calibri"/>
          <w:sz w:val="22"/>
          <w:szCs w:val="22"/>
        </w:rPr>
        <w:t xml:space="preserve">If complete cure is not documented by the properly computed deadline, the claimant presently contemplates damages or collection review: Review collection, contract performance, and other available remedies against the complete record only after the verified cure period expires without complete cure.</w:t>
      </w:r>
    </w:p>
    <w:p>
      <w:pPr>
        <w:keepLines/>
        <w:spacing w:after="120" w:line="264"/>
        <w:jc w:val="both"/>
      </w:pPr>
      <w:r>
        <w:rPr>
          <w:rFonts w:ascii="Calibri" w:cs="Calibri" w:eastAsia="Calibri" w:hAnsi="Calibri"/>
          <w:sz w:val="22"/>
          <w:szCs w:val="22"/>
        </w:rPr>
        <w:t xml:space="preserve">No termination, resolution or rescission, damages, forfeiture, acceleration, suspension, attorney's fees, or other remedy is declared automatic merely because this notice was issued or the stated deadline passes. Any next step remains subject to the complete agreement, the materiality of the breach, reciprocal performance, waiver or course of dealing, mandatory law, evidence, third-party rights, and any required judicial, arbitral, administrative, or contractual process.</w:t>
      </w:r>
    </w:p>
    <w:p>
      <w:pPr>
        <w:keepLines/>
        <w:spacing w:after="120" w:line="264"/>
        <w:jc w:val="both"/>
      </w:pPr>
      <w:r>
        <w:rPr>
          <w:rFonts w:ascii="Calibri" w:cs="Calibri" w:eastAsia="Calibri" w:hAnsi="Calibri"/>
          <w:sz w:val="22"/>
          <w:szCs w:val="22"/>
        </w:rPr>
        <w:t xml:space="preserve">This notice does not threaten lockout, seizure, utility cutoff, account or system intrusion, publication, harassment, interference with property, or another form of unlawful self-help.</w:t>
      </w:r>
    </w:p>
    <w:p>
      <w:pPr>
        <w:keepLines/>
        <w:spacing w:after="120" w:line="264"/>
        <w:jc w:val="both"/>
      </w:pPr>
      <w:r>
        <w:rPr>
          <w:rFonts w:ascii="Calibri" w:cs="Calibri" w:eastAsia="Calibri" w:hAnsi="Calibri"/>
          <w:sz w:val="22"/>
          <w:szCs w:val="22"/>
        </w:rPr>
        <w:t xml:space="preserve">Without prejudice to the stated cure demand, the claimant invites a documented resolution discussion through: A without-prejudice discussion may be requested through contracts@bayanihan.example without suspending the cure period unless a signed extension states otherwise.</w:t>
      </w:r>
    </w:p>
    <w:p>
      <w:pPr>
        <w:keepLines/>
        <w:spacing w:after="120" w:line="264"/>
        <w:jc w:val="both"/>
      </w:pPr>
      <w:r>
        <w:rPr>
          <w:rFonts w:ascii="Calibri" w:cs="Calibri" w:eastAsia="Calibri" w:hAnsi="Calibri"/>
          <w:sz w:val="22"/>
          <w:szCs w:val="22"/>
        </w:rPr>
        <w:t xml:space="preserve">Reservation: All rights and remedies under the complete agreement and applicable Philippine law are reserved without present election, waiver, or admission.</w:t>
      </w:r>
    </w:p>
    <w:p>
      <w:pPr>
        <w:pStyle w:val="Heading2"/>
        <w:keepNext/>
        <w:spacing w:after="120" w:before="240"/>
      </w:pPr>
      <w:r>
        <w:rPr>
          <w:rFonts w:ascii="Calibri" w:cs="Calibri" w:eastAsia="Calibri" w:hAnsi="Calibri"/>
          <w:b/>
          <w:bCs/>
          <w:color w:val="102B3F"/>
          <w:sz w:val="26"/>
          <w:szCs w:val="26"/>
        </w:rPr>
        <w:t xml:space="preserve">6. Service and preservation</w:t>
      </w:r>
    </w:p>
    <w:p>
      <w:pPr>
        <w:keepLines/>
        <w:spacing w:after="120" w:line="264"/>
        <w:jc w:val="both"/>
      </w:pPr>
      <w:r>
        <w:rPr>
          <w:rFonts w:ascii="Calibri" w:cs="Calibri" w:eastAsia="Calibri" w:hAnsi="Calibri"/>
          <w:sz w:val="22"/>
          <w:szCs w:val="22"/>
        </w:rPr>
        <w:t xml:space="preserve">This notice and its exact attachments will be served as follows: Serve the recipient's contract notices office personally and by trackable courier, with the exact signed PDF and ledger simultaneously sent to the designated contract email.</w:t>
      </w:r>
    </w:p>
    <w:p>
      <w:pPr>
        <w:keepLines/>
        <w:spacing w:after="120" w:line="264"/>
        <w:jc w:val="both"/>
      </w:pPr>
      <w:r>
        <w:rPr>
          <w:rFonts w:ascii="Calibri" w:cs="Calibri" w:eastAsia="Calibri" w:hAnsi="Calibri"/>
          <w:sz w:val="22"/>
          <w:szCs w:val="22"/>
        </w:rPr>
        <w:t xml:space="preserve">Please acknowledge receipt without altering the date, content, attachments, or service record and send the response through the stated channel.</w:t>
      </w:r>
    </w:p>
    <w:p>
      <w:pPr>
        <w:keepNext/>
        <w:spacing w:after="260" w:before="360"/>
      </w:pPr>
      <w:r>
        <w:rPr>
          <w:rFonts w:ascii="Calibri" w:cs="Calibri" w:eastAsia="Calibri" w:hAnsi="Calibri"/>
          <w:b/>
          <w:bCs/>
          <w:sz w:val="22"/>
          <w:szCs w:val="22"/>
        </w:rPr>
        <w:t xml:space="preserve">SIGNED after review of the complete agreement, evidence, cure computation, and service instructions.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CLAIMANT / AUTHORIZED SIGNER</w:t>
            </w:r>
          </w:p>
          <w:p>
            <w:pPr>
              <w:spacing w:after="120"/>
            </w:pPr>
            <w:r>
              <w:rPr>
                <w:rFonts w:ascii="Calibri" w:cs="Calibri" w:eastAsia="Calibri" w:hAnsi="Calibri"/>
                <w:sz w:val="22"/>
                <w:szCs w:val="22"/>
              </w:rPr>
              <w:t xml:space="preserve">Andrea M. Reyes</w:t>
            </w:r>
          </w:p>
          <w:p>
            <w:pPr>
              <w:spacing w:after="120"/>
            </w:pPr>
            <w:r>
              <w:rPr>
                <w:rFonts w:ascii="Calibri" w:cs="Calibri" w:eastAsia="Calibri" w:hAnsi="Calibri"/>
                <w:sz w:val="22"/>
                <w:szCs w:val="22"/>
              </w:rPr>
              <w:t xml:space="preserve">Authorized Contract Administrator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Use the exact parties, complete agreement, amendments, schedules, orders, and governing transaction rules. Do not rely on a clause excerpt alone.</w:t>
      </w:r>
    </w:p>
    <w:p>
      <w:pPr>
        <w:pStyle w:val="ListParagraph"/>
        <w:keepNext/>
        <w:numPr>
          <w:ilvl w:val="0"/>
          <w:numId w:val="1"/>
        </w:numPr>
        <w:spacing w:after="120" w:line="264"/>
      </w:pPr>
      <w:r>
        <w:rPr>
          <w:rFonts w:ascii="Calibri" w:cs="Calibri" w:eastAsia="Calibri" w:hAnsi="Calibri"/>
          <w:sz w:val="22"/>
          <w:szCs w:val="22"/>
        </w:rPr>
        <w:t xml:space="preserve">Verify the alleged obligation, due event, chronology, evidence, claimant performance, recipient position, extensions, accepted performance, waiver, and course of dealing.</w:t>
      </w:r>
    </w:p>
    <w:p>
      <w:pPr>
        <w:pStyle w:val="ListParagraph"/>
        <w:keepNext/>
        <w:numPr>
          <w:ilvl w:val="0"/>
          <w:numId w:val="1"/>
        </w:numPr>
        <w:spacing w:after="120" w:line="264"/>
      </w:pPr>
      <w:r>
        <w:rPr>
          <w:rFonts w:ascii="Calibri" w:cs="Calibri" w:eastAsia="Calibri" w:hAnsi="Calibri"/>
          <w:sz w:val="22"/>
          <w:szCs w:val="22"/>
        </w:rPr>
        <w:t xml:space="preserve">Internal record, not sent to the recipient — waiver and course-of-dealing review: One prior two-day administrative extension was expressly limited to June 2026 and did not amend the ten-day cure provision or waive later timely payment. If an extension was granted, make sure the cure demand respects it.</w:t>
      </w:r>
    </w:p>
    <w:p>
      <w:pPr>
        <w:pStyle w:val="ListParagraph"/>
        <w:keepNext/>
        <w:numPr>
          <w:ilvl w:val="0"/>
          <w:numId w:val="1"/>
        </w:numPr>
        <w:spacing w:after="120" w:line="264"/>
      </w:pPr>
      <w:r>
        <w:rPr>
          <w:rFonts w:ascii="Calibri" w:cs="Calibri" w:eastAsia="Calibri" w:hAnsi="Calibri"/>
          <w:sz w:val="22"/>
          <w:szCs w:val="22"/>
        </w:rPr>
        <w:t xml:space="preserve">Internal record — cure-deadline computation: Count ten full calendar days beginning on the day after verified actual receipt and record the resulting deadline on every service copy.</w:t>
      </w:r>
    </w:p>
    <w:p>
      <w:pPr>
        <w:pStyle w:val="ListParagraph"/>
        <w:keepNext/>
        <w:numPr>
          <w:ilvl w:val="0"/>
          <w:numId w:val="1"/>
        </w:numPr>
        <w:spacing w:after="120" w:line="264"/>
      </w:pPr>
      <w:r>
        <w:rPr>
          <w:rFonts w:ascii="Calibri" w:cs="Calibri" w:eastAsia="Calibri" w:hAnsi="Calibri"/>
          <w:sz w:val="22"/>
          <w:szCs w:val="22"/>
        </w:rPr>
        <w:t xml:space="preserve">Internal record — service proof: Retain identical signed copies, attachment hashes, personal-service acknowledgment, courier tracking and proof of delivery, email headers, delivery receipt, and any recipient acknowledgment. Electronic service evidence: Retain the final PDF and attachment hashes, sender account identity, complete headers, dispatch time, server acceptance, delivery receipt, and recipient acknowledgment.</w:t>
      </w:r>
    </w:p>
    <w:p>
      <w:pPr>
        <w:pStyle w:val="ListParagraph"/>
        <w:keepNext/>
        <w:numPr>
          <w:ilvl w:val="0"/>
          <w:numId w:val="1"/>
        </w:numPr>
        <w:spacing w:after="120" w:line="264"/>
      </w:pPr>
      <w:r>
        <w:rPr>
          <w:rFonts w:ascii="Calibri" w:cs="Calibri" w:eastAsia="Calibri" w:hAnsi="Calibri"/>
          <w:sz w:val="22"/>
          <w:szCs w:val="22"/>
        </w:rPr>
        <w:t xml:space="preserve">Match every contractual notice address, recipient, copy, method, effectiveness rule, cure period, and condition precedent. Use all required channels and preserve exact content.</w:t>
      </w:r>
    </w:p>
    <w:p>
      <w:pPr>
        <w:pStyle w:val="ListParagraph"/>
        <w:keepNext/>
        <w:numPr>
          <w:ilvl w:val="0"/>
          <w:numId w:val="1"/>
        </w:numPr>
        <w:spacing w:after="120" w:line="264"/>
      </w:pPr>
      <w:r>
        <w:rPr>
          <w:rFonts w:ascii="Calibri" w:cs="Calibri" w:eastAsia="Calibri" w:hAnsi="Calibri"/>
          <w:sz w:val="22"/>
          <w:szCs w:val="22"/>
        </w:rPr>
        <w:t xml:space="preserve">Calculate the cure deadline only after the verified effective-service event. Record calendar/business-day treatment, holidays if relevant, and any longer mandatory period.</w:t>
      </w:r>
    </w:p>
    <w:p>
      <w:pPr>
        <w:pStyle w:val="ListParagraph"/>
        <w:keepNext/>
        <w:numPr>
          <w:ilvl w:val="0"/>
          <w:numId w:val="1"/>
        </w:numPr>
        <w:spacing w:after="120" w:line="264"/>
      </w:pPr>
      <w:r>
        <w:rPr>
          <w:rFonts w:ascii="Calibri" w:cs="Calibri" w:eastAsia="Calibri" w:hAnsi="Calibri"/>
          <w:sz w:val="22"/>
          <w:szCs w:val="22"/>
        </w:rPr>
        <w:t xml:space="preserve">For money, reconcile each due period, supported interest or charge, payment, credit, reversal, and disputed amount. Attach the ledger referenced by the notice.</w:t>
      </w:r>
    </w:p>
    <w:p>
      <w:pPr>
        <w:pStyle w:val="ListParagraph"/>
        <w:keepNext/>
        <w:numPr>
          <w:ilvl w:val="0"/>
          <w:numId w:val="1"/>
        </w:numPr>
        <w:spacing w:after="120" w:line="264"/>
      </w:pPr>
      <w:r>
        <w:rPr>
          <w:rFonts w:ascii="Calibri" w:cs="Calibri" w:eastAsia="Calibri" w:hAnsi="Calibri"/>
          <w:sz w:val="22"/>
          <w:szCs w:val="22"/>
        </w:rPr>
        <w:t xml:space="preserve">Do not characterize a slight, disputed, or substantially cured issue as automatically supporting Article 1191 resolution. Materiality and reciprocal performance are fact-specific.</w:t>
      </w:r>
    </w:p>
    <w:p>
      <w:pPr>
        <w:pStyle w:val="ListParagraph"/>
        <w:keepNext/>
        <w:numPr>
          <w:ilvl w:val="0"/>
          <w:numId w:val="1"/>
        </w:numPr>
        <w:spacing w:after="120" w:line="264"/>
      </w:pPr>
      <w:r>
        <w:rPr>
          <w:rFonts w:ascii="Calibri" w:cs="Calibri" w:eastAsia="Calibri" w:hAnsi="Calibri"/>
          <w:sz w:val="22"/>
          <w:szCs w:val="22"/>
        </w:rPr>
        <w:t xml:space="preserve">Do not suspend performance unless the complete agreement and applicable law permit the exact proportionate suspension. Continue unaffected duties and mitigation where required.</w:t>
      </w:r>
    </w:p>
    <w:p>
      <w:pPr>
        <w:pStyle w:val="ListParagraph"/>
        <w:keepNext/>
        <w:numPr>
          <w:ilvl w:val="0"/>
          <w:numId w:val="1"/>
        </w:numPr>
        <w:spacing w:after="120" w:line="264"/>
      </w:pPr>
      <w:r>
        <w:rPr>
          <w:rFonts w:ascii="Calibri" w:cs="Calibri" w:eastAsia="Calibri" w:hAnsi="Calibri"/>
          <w:sz w:val="22"/>
          <w:szCs w:val="22"/>
        </w:rPr>
        <w:t xml:space="preserve">Do not threaten lockout, seizure, account intrusion, utility cutoff, publication, harassment, or another unlawful self-help measure.</w:t>
      </w:r>
    </w:p>
    <w:p>
      <w:pPr>
        <w:pStyle w:val="ListParagraph"/>
        <w:keepNext/>
        <w:numPr>
          <w:ilvl w:val="0"/>
          <w:numId w:val="1"/>
        </w:numPr>
        <w:spacing w:after="120" w:line="264"/>
      </w:pPr>
      <w:r>
        <w:rPr>
          <w:rFonts w:ascii="Calibri" w:cs="Calibri" w:eastAsia="Calibri" w:hAnsi="Calibri"/>
          <w:sz w:val="22"/>
          <w:szCs w:val="22"/>
        </w:rPr>
        <w:t xml:space="preserve">For email or electronic service, retain sender identity, final PDF and attachment hashes, headers, dispatch and receipt data, acknowledgments, and a readable integrity-preserved copy.</w:t>
      </w:r>
    </w:p>
    <w:p>
      <w:pPr>
        <w:pStyle w:val="ListParagraph"/>
        <w:keepNext w:val="false"/>
        <w:numPr>
          <w:ilvl w:val="0"/>
          <w:numId w:val="1"/>
        </w:numPr>
        <w:spacing w:after="120" w:line="264"/>
      </w:pPr>
      <w:r>
        <w:rPr>
          <w:rFonts w:ascii="Calibri" w:cs="Calibri" w:eastAsia="Calibri" w:hAnsi="Calibri"/>
          <w:sz w:val="22"/>
          <w:szCs w:val="22"/>
        </w:rPr>
        <w:t xml:space="preserve">Obtain Philippine counsel review before termination, rescission/resolution, damages, forfeiture, acceleration, suspension, litigation, arbitration, or service in a real-property, consumer, government, regulated, or pending-dispute context.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private contracts | Effective 2026-08-31 onward, subject to the recorded review cycle | Independent Philippine contract-lawyer review pending | Last legal check 2026-10-01 | Next review due 2027-01-01</w:t>
      </w:r>
    </w:p>
    <w:p>
      <w:pPr>
        <w:keepNext/>
        <w:spacing w:after="60" w:before="100"/>
      </w:pPr>
      <w:r>
        <w:rPr>
          <w:rFonts w:ascii="Calibri" w:cs="Calibri" w:eastAsia="Calibri" w:hAnsi="Calibri"/>
          <w:b/>
          <w:bCs/>
          <w:sz w:val="18"/>
          <w:szCs w:val="18"/>
        </w:rPr>
        <w:t xml:space="preserve">Republic Act No. 386 — Civil Code of the Philippines - Articles 1159, 1169–1173, 1191, 1197, 1231, 1306, 1315, and 2208 — contractual force, demand and delay, breach, reciprocal remedies, periods, freedom and limits of contract, and attorney's fees (checked 2026-08-31)</w:t>
      </w:r>
    </w:p>
    <w:p>
      <w:pPr>
        <w:spacing w:after="120"/>
      </w:pPr>
      <w:hyperlink w:history="1" r:id="rIdnaalddkyzz_zvivmrb81a">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8792 — Electronic Commerce Act - Sections 6–12 and 16–24 — electronic-document recognition, authentication, signatures, acknowledgment, dispatch, receipt, place, and retention (checked 2026-08-31)</w:t>
      </w:r>
    </w:p>
    <w:p>
      <w:pPr>
        <w:spacing w:after="120"/>
      </w:pPr>
      <w:hyperlink w:history="1" r:id="rIdx_16rfz_kjzvy3kxffeyk">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Philippine Charter Insurance Corp. v. Central Colleges of the Philippines, G.R. Nos. 180631–33 (February 22, 2012) - Extrajudicial demand and notice of breach may place an obligor in delay under Article 1169, subject to the contract and facts (checked 2026-10-01)</w:t>
      </w:r>
    </w:p>
    <w:p>
      <w:pPr>
        <w:spacing w:after="120"/>
      </w:pPr>
      <w:hyperlink w:history="1" r:id="rIdgbztolfceofyzutmwmm8p">
        <w:r>
          <w:rPr>
            <w:rFonts w:ascii="Calibri" w:cs="Calibri" w:eastAsia="Calibri" w:hAnsi="Calibri"/>
            <w:color w:val="315B75"/>
            <w:sz w:val="17"/>
            <w:szCs w:val="17"/>
            <w:u w:val="single"/>
          </w:rPr>
          <w:t xml:space="preserve">https://lawphil.net/judjuris/juri2012/feb2012/gr_180631_2012.html</w:t>
        </w:r>
      </w:hyperlink>
    </w:p>
    <w:p>
      <w:pPr>
        <w:keepNext/>
        <w:spacing w:after="60" w:before="100"/>
      </w:pPr>
      <w:r>
        <w:rPr>
          <w:rFonts w:ascii="Calibri" w:cs="Calibri" w:eastAsia="Calibri" w:hAnsi="Calibri"/>
          <w:b/>
          <w:bCs/>
          <w:sz w:val="18"/>
          <w:szCs w:val="18"/>
        </w:rPr>
        <w:t xml:space="preserve">Camarines Sur Teachers and Employees Association, Inc. v. Province of Camarines Sur, G.R. No. 199666 (October 7, 2019) - Article 1191 resolution generally requires a substantial and fundamental breach; slight breach, substantial compliance, or a justified period may defeat rescission (checked 2026-10-01)</w:t>
      </w:r>
    </w:p>
    <w:p>
      <w:pPr>
        <w:spacing w:after="120"/>
      </w:pPr>
      <w:hyperlink w:history="1" r:id="rId5iwfx7nsy5wyj-s4mhtar">
        <w:r>
          <w:rPr>
            <w:rFonts w:ascii="Calibri" w:cs="Calibri" w:eastAsia="Calibri" w:hAnsi="Calibri"/>
            <w:color w:val="315B75"/>
            <w:sz w:val="17"/>
            <w:szCs w:val="17"/>
            <w:u w:val="single"/>
          </w:rPr>
          <w:t xml:space="preserve">https://elibrary.judiciary.gov.ph/thebookshelf/showdocs/1/65815</w:t>
        </w:r>
      </w:hyperlink>
    </w:p>
    <w:p>
      <w:pPr>
        <w:keepNext/>
        <w:spacing w:after="60" w:before="100"/>
      </w:pPr>
      <w:r>
        <w:rPr>
          <w:rFonts w:ascii="Calibri" w:cs="Calibri" w:eastAsia="Calibri" w:hAnsi="Calibri"/>
          <w:b/>
          <w:bCs/>
          <w:sz w:val="18"/>
          <w:szCs w:val="18"/>
        </w:rPr>
        <w:t xml:space="preserve">Camp John Hay Development Corp. v. Charter Chemical and Coating Corp., G.R. No. 198849 (August 7, 2019) - Reciprocal obligations, Article 1191 fulfillment or resolution, damages, and the discretionary, limited power of courts to fix a period under Article 1197 (checked 2026-10-01)</w:t>
      </w:r>
    </w:p>
    <w:p>
      <w:pPr>
        <w:spacing w:after="120"/>
      </w:pPr>
      <w:hyperlink w:history="1" r:id="rId8rfp2wd2h3jyymmjn-8ba">
        <w:r>
          <w:rPr>
            <w:rFonts w:ascii="Calibri" w:cs="Calibri" w:eastAsia="Calibri" w:hAnsi="Calibri"/>
            <w:color w:val="315B75"/>
            <w:sz w:val="17"/>
            <w:szCs w:val="17"/>
            <w:u w:val="single"/>
          </w:rPr>
          <w:t xml:space="preserve">https://elibrary.judiciary.gov.ph/thebookshelf/showdocs/22/65400</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alddkyzz_zvivmrb81a" Type="http://schemas.openxmlformats.org/officeDocument/2006/relationships/hyperlink" Target="https://lawphil.net/statutes/repacts/ra1949/ra_386_1949.html" TargetMode="External"/><Relationship Id="rIdx_16rfz_kjzvy3kxffeyk" Type="http://schemas.openxmlformats.org/officeDocument/2006/relationships/hyperlink" Target="https://lawphil.net/statutes/repacts/ra2000/ra_8792_2000.html" TargetMode="External"/><Relationship Id="rIdgbztolfceofyzutmwmm8p" Type="http://schemas.openxmlformats.org/officeDocument/2006/relationships/hyperlink" Target="https://lawphil.net/judjuris/juri2012/feb2012/gr_180631_2012.html" TargetMode="External"/><Relationship Id="rId5iwfx7nsy5wyj-s4mhtar" Type="http://schemas.openxmlformats.org/officeDocument/2006/relationships/hyperlink" Target="https://elibrary.judiciary.gov.ph/thebookshelf/showdocs/1/65815" TargetMode="External"/><Relationship Id="rId8rfp2wd2h3jyymmjn-8ba" Type="http://schemas.openxmlformats.org/officeDocument/2006/relationships/hyperlink" Target="https://elibrary.judiciary.gov.ph/thebookshelf/showdocs/22/65400"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CONTRACT BREACH AND OPPORTUNITY TO CURE</dc:title>
  <dc:creator>LAW.PH</dc:creator>
  <dc:description>Free sample of the Notice of Contract Breach and Opportunity to Cure from LAW.PH, with fictional details</dc:description>
  <cp:lastModifiedBy>Un-named</cp:lastModifiedBy>
  <cp:revision>1</cp:revision>
  <dcterms:created xsi:type="dcterms:W3CDTF">2026-10-02T05:29:58.166Z</dcterms:created>
  <dcterms:modified xsi:type="dcterms:W3CDTF">2026-10-02T05:29:58.166Z</dcterms:modified>
</cp:coreProperties>
</file>

<file path=docProps/custom.xml><?xml version="1.0" encoding="utf-8"?>
<Properties xmlns="http://schemas.openxmlformats.org/officeDocument/2006/custom-properties" xmlns:vt="http://schemas.openxmlformats.org/officeDocument/2006/docPropsVTypes"/>
</file>