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NOTICE OF DISCIPLINARY DECISION</w:t>
      </w:r>
    </w:p>
    <w:p>
      <w:pPr>
        <w:spacing w:after="160"/>
        <w:jc w:val="center"/>
      </w:pPr>
      <w:r>
        <w:rPr>
          <w:rFonts w:ascii="Calibri" w:cs="Calibri" w:eastAsia="Calibri" w:hAnsi="Calibri"/>
          <w:color w:val="566674"/>
          <w:sz w:val="18"/>
          <w:szCs w:val="18"/>
        </w:rPr>
        <w:t xml:space="preserve">Republic of the Philippines · lesser discipline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labor-lawyer review pending</w:t>
      </w:r>
    </w:p>
    <w:p>
      <w:pPr>
        <w:keepLines/>
        <w:spacing w:after="120" w:line="264"/>
        <w:jc w:val="both"/>
      </w:pPr>
      <w:r>
        <w:rPr>
          <w:rFonts w:ascii="Calibri" w:cs="Calibri" w:eastAsia="Calibri" w:hAnsi="Calibri"/>
          <w:sz w:val="22"/>
          <w:szCs w:val="22"/>
        </w:rPr>
        <w:t xml:space="preserve">PRIVATE AND CONFIDENTIAL</w:t>
      </w:r>
    </w:p>
    <w:p>
      <w:pPr>
        <w:keepLines/>
        <w:spacing w:after="120" w:line="264"/>
        <w:jc w:val="both"/>
      </w:pPr>
      <w:r>
        <w:rPr>
          <w:rFonts w:ascii="Calibri" w:cs="Calibri" w:eastAsia="Calibri" w:hAnsi="Calibri"/>
          <w:sz w:val="22"/>
          <w:szCs w:val="22"/>
        </w:rPr>
        <w:t xml:space="preserve">Date: August 30, 2026</w:t>
      </w:r>
    </w:p>
    <w:p>
      <w:pPr>
        <w:keepLines/>
        <w:spacing w:after="120" w:line="264"/>
        <w:jc w:val="both"/>
      </w:pPr>
      <w:r>
        <w:rPr>
          <w:rFonts w:ascii="Calibri" w:cs="Calibri" w:eastAsia="Calibri" w:hAnsi="Calibri"/>
          <w:sz w:val="22"/>
          <w:szCs w:val="22"/>
        </w:rPr>
        <w:t xml:space="preserve">TO: Juan Miguel Santos · Employee no. EMP-1042</w:t>
      </w:r>
    </w:p>
    <w:p>
      <w:pPr>
        <w:keepLines/>
        <w:spacing w:after="120" w:line="264"/>
        <w:jc w:val="both"/>
      </w:pPr>
      <w:r>
        <w:rPr>
          <w:rFonts w:ascii="Calibri" w:cs="Calibri" w:eastAsia="Calibri" w:hAnsi="Calibri"/>
          <w:sz w:val="22"/>
          <w:szCs w:val="22"/>
        </w:rPr>
        <w:t xml:space="preserve">Position/Department: Store Cashier · Retail Operations</w:t>
      </w:r>
    </w:p>
    <w:p>
      <w:pPr>
        <w:keepLines/>
        <w:spacing w:after="120" w:line="264"/>
        <w:jc w:val="both"/>
      </w:pPr>
      <w:r>
        <w:rPr>
          <w:rFonts w:ascii="Calibri" w:cs="Calibri" w:eastAsia="Calibri" w:hAnsi="Calibri"/>
          <w:sz w:val="22"/>
          <w:szCs w:val="22"/>
        </w:rPr>
        <w:t xml:space="preserve">Work location: Makati Central Store</w:t>
      </w:r>
    </w:p>
    <w:p>
      <w:pPr>
        <w:keepLines/>
        <w:spacing w:after="120" w:line="264"/>
        <w:jc w:val="both"/>
      </w:pPr>
      <w:r>
        <w:rPr>
          <w:rFonts w:ascii="Calibri" w:cs="Calibri" w:eastAsia="Calibri" w:hAnsi="Calibri"/>
          <w:sz w:val="22"/>
          <w:szCs w:val="22"/>
        </w:rPr>
        <w:t xml:space="preserve">FROM: Bayanihan Retail Corporation · Andrea Reyes, Human Resources Manager</w:t>
      </w:r>
    </w:p>
    <w:p>
      <w:pPr>
        <w:keepLines/>
        <w:spacing w:after="120" w:line="264"/>
        <w:jc w:val="both"/>
      </w:pPr>
      <w:r>
        <w:rPr>
          <w:rFonts w:ascii="Calibri" w:cs="Calibri" w:eastAsia="Calibri" w:hAnsi="Calibri"/>
          <w:sz w:val="22"/>
          <w:szCs w:val="22"/>
        </w:rPr>
        <w:t xml:space="preserve">SUBJECT: NOTICE OF DISCIPLINARY DECISION — NOTICE TO EXPLAIN — UNRECONCILED CUSTOMER COLLECTION ON 15 AUGUST 2026</w:t>
      </w:r>
    </w:p>
    <w:p>
      <w:pPr>
        <w:pStyle w:val="Heading2"/>
        <w:keepNext/>
        <w:spacing w:after="120" w:before="240"/>
      </w:pPr>
      <w:r>
        <w:rPr>
          <w:rFonts w:ascii="Calibri" w:cs="Calibri" w:eastAsia="Calibri" w:hAnsi="Calibri"/>
          <w:b/>
          <w:bCs/>
          <w:color w:val="102B3F"/>
          <w:sz w:val="26"/>
          <w:szCs w:val="26"/>
        </w:rPr>
        <w:t xml:space="preserve">DECISION AND SCOPE</w:t>
      </w:r>
    </w:p>
    <w:p>
      <w:pPr>
        <w:keepLines/>
        <w:spacing w:after="120" w:line="264"/>
        <w:jc w:val="both"/>
      </w:pPr>
      <w:r>
        <w:rPr>
          <w:rFonts w:ascii="Calibri" w:cs="Calibri" w:eastAsia="Calibri" w:hAnsi="Calibri"/>
          <w:sz w:val="22"/>
          <w:szCs w:val="22"/>
        </w:rPr>
        <w:t xml:space="preserve">After an independent review of the complete disciplinary record, Bayanihan Retail Corporation issues the following final internal decision: final written warning. The exact terms are: A final written warning effective upon receipt, mandatory cash-control retraining before the next cashier assignment, supervised closing counts for 60 days, and notice that a future substantially similar proved offense may support further proportionate discipline after a separate fair process.</w:t>
      </w:r>
    </w:p>
    <w:p>
      <w:pPr>
        <w:keepLines/>
        <w:spacing w:after="120" w:line="264"/>
        <w:jc w:val="both"/>
      </w:pPr>
      <w:r>
        <w:rPr>
          <w:rFonts w:ascii="Calibri" w:cs="Calibri" w:eastAsia="Calibri" w:hAnsi="Calibri"/>
          <w:sz w:val="22"/>
          <w:szCs w:val="22"/>
        </w:rPr>
        <w:t xml:space="preserve">This decision concerns only the charges fairly disclosed in the written first notice dated August 20, 2026 and actually received on August 20, 2026. It does not rely on a new material charge, incident, legal ground, or evidence that you had no meaningful opportunity to answer. It does not prevent you from contesting the validity or legality of the outcome through an available policy, CBA, DOLE, NLRC, or court process.</w:t>
      </w:r>
    </w:p>
    <w:p>
      <w:pPr>
        <w:pStyle w:val="Heading2"/>
        <w:keepNext/>
        <w:spacing w:after="120" w:before="240"/>
      </w:pPr>
      <w:r>
        <w:rPr>
          <w:rFonts w:ascii="Calibri" w:cs="Calibri" w:eastAsia="Calibri" w:hAnsi="Calibri"/>
          <w:b/>
          <w:bCs/>
          <w:color w:val="102B3F"/>
          <w:sz w:val="26"/>
          <w:szCs w:val="26"/>
        </w:rPr>
        <w:t xml:space="preserve">PROCESS AND MATERIALS CONSIDERED</w:t>
      </w:r>
    </w:p>
    <w:p>
      <w:pPr>
        <w:keepLines/>
        <w:spacing w:after="120" w:line="264"/>
        <w:jc w:val="both"/>
      </w:pPr>
      <w:r>
        <w:rPr>
          <w:rFonts w:ascii="Calibri" w:cs="Calibri" w:eastAsia="Calibri" w:hAnsi="Calibri"/>
          <w:sz w:val="22"/>
          <w:szCs w:val="22"/>
        </w:rPr>
        <w:t xml:space="preserve">The response deadline was August 25, 2026, preserving at least five calendar days from actual receipt and any longer applicable period. Response status: submitted. Response/record date: August 25, 2026. Method or nonresponse record: Signed written explanation and exhibits delivered to HR Employee Relations and acknowledged at 3:14 PM. Silence was not treated as an admission.</w:t>
      </w:r>
    </w:p>
    <w:p>
      <w:pPr>
        <w:keepLines/>
        <w:spacing w:after="120" w:line="264"/>
        <w:jc w:val="both"/>
      </w:pPr>
      <w:r>
        <w:rPr>
          <w:rFonts w:ascii="Calibri" w:cs="Calibri" w:eastAsia="Calibri" w:hAnsi="Calibri"/>
          <w:sz w:val="22"/>
          <w:szCs w:val="22"/>
        </w:rPr>
        <w:t xml:space="preserve">Employee explanation considered: The employee denied taking the collection, accepted that he failed to follow the dual-count and immediate-variance reporting steps, explained that the closing supervisor asked him to prepare another drawer during the count, and stated that he believed the supervisor would report the variance.</w:t>
      </w:r>
    </w:p>
    <w:p>
      <w:pPr>
        <w:keepLines/>
        <w:spacing w:after="120" w:line="264"/>
        <w:jc w:val="both"/>
      </w:pPr>
      <w:r>
        <w:rPr>
          <w:rFonts w:ascii="Calibri" w:cs="Calibri" w:eastAsia="Calibri" w:hAnsi="Calibri"/>
          <w:sz w:val="22"/>
          <w:szCs w:val="22"/>
        </w:rPr>
        <w:t xml:space="preserve">Employee evidence, witnesses, corrections, defenses, and mitigating information considered: The employee submitted his shift log, a message from the closing supervisor assigning another drawer, and the names of two coworkers. The message supports the temporary reassignment but does not show completion of the required turnover or an immediate variance report.</w:t>
      </w:r>
    </w:p>
    <w:p>
      <w:pPr>
        <w:keepLines/>
        <w:spacing w:after="120" w:line="264"/>
        <w:jc w:val="both"/>
      </w:pPr>
      <w:r>
        <w:rPr>
          <w:rFonts w:ascii="Calibri" w:cs="Calibri" w:eastAsia="Calibri" w:hAnsi="Calibri"/>
          <w:sz w:val="22"/>
          <w:szCs w:val="22"/>
        </w:rPr>
        <w:t xml:space="preserve">Extensions, access, language, disability, representation, and other fairness requests: HR supplied the requested CCTV viewing on 23 August, allowed the employee's chosen union representative to attend, and granted a one-day evidence supplement through 26 August; no language or disability accommodation was requested.</w:t>
      </w:r>
    </w:p>
    <w:p>
      <w:pPr>
        <w:keepLines/>
        <w:spacing w:after="120" w:line="264"/>
        <w:jc w:val="both"/>
      </w:pPr>
      <w:r>
        <w:rPr>
          <w:rFonts w:ascii="Calibri" w:cs="Calibri" w:eastAsia="Calibri" w:hAnsi="Calibri"/>
          <w:sz w:val="22"/>
          <w:szCs w:val="22"/>
        </w:rPr>
        <w:t xml:space="preserve">Conference status: held; record: At the conference, the employee and representative clarified the temporary reassignment, challenged the camera angle, reviewed the register and deposit records, and confirmed that no direct evidence showed the employee retaining the cash. The panel accepted the reassignment context and kept the loss allegation separate from the documented control failures. Representation: The employee attended with his chosen union representative, who was allowed to confer, ask clarifying questions, and submit a written supplement. Evidence access: HR supplied the first notice attachments, policy version, transaction extract, reconciliation, turnover sheet, and a supervised viewing of the complete CCTV segment; unrelated customer details were minimized without withholding the substance needed for the defense.</w:t>
      </w:r>
    </w:p>
    <w:p>
      <w:pPr>
        <w:keepLines/>
        <w:spacing w:after="120" w:line="264"/>
        <w:jc w:val="both"/>
      </w:pPr>
      <w:r>
        <w:rPr>
          <w:rFonts w:ascii="Calibri" w:cs="Calibri" w:eastAsia="Calibri" w:hAnsi="Calibri"/>
          <w:sz w:val="22"/>
          <w:szCs w:val="22"/>
        </w:rPr>
        <w:t xml:space="preserve">No additional union or CBA process was identified from the reviewed record.</w:t>
      </w:r>
    </w:p>
    <w:p>
      <w:pPr>
        <w:keepLines/>
        <w:spacing w:after="120" w:line="264"/>
        <w:jc w:val="both"/>
      </w:pPr>
      <w:r>
        <w:rPr>
          <w:rFonts w:ascii="Calibri" w:cs="Calibri" w:eastAsia="Calibri" w:hAnsi="Calibri"/>
          <w:sz w:val="22"/>
          <w:szCs w:val="22"/>
        </w:rPr>
        <w:t xml:space="preserve">The employer records that the employee understands this complete English decision.</w:t>
      </w:r>
    </w:p>
    <w:p>
      <w:pPr>
        <w:keepLines/>
        <w:spacing w:after="120" w:line="264"/>
        <w:jc w:val="both"/>
      </w:pPr>
      <w:r>
        <w:rPr>
          <w:rFonts w:ascii="Calibri" w:cs="Calibri" w:eastAsia="Calibri" w:hAnsi="Calibri"/>
          <w:sz w:val="22"/>
          <w:szCs w:val="22"/>
        </w:rPr>
        <w:t xml:space="preserve">The decision was made by Employee Relations Review Panel composed of the HR Director, Retail Operations Director, and Compliance Manager, excluding the complainant and initial investigator after review of the first notice, service evidence, employee response and evidence, conference record, management evidence, material contrary facts, exact policy, applicable CBA, and proportionality factors.</w:t>
      </w:r>
    </w:p>
    <w:p>
      <w:pPr>
        <w:pStyle w:val="Heading2"/>
        <w:keepNext/>
        <w:spacing w:after="120" w:before="240"/>
      </w:pPr>
      <w:r>
        <w:rPr>
          <w:rFonts w:ascii="Calibri" w:cs="Calibri" w:eastAsia="Calibri" w:hAnsi="Calibri"/>
          <w:b/>
          <w:bCs/>
          <w:color w:val="102B3F"/>
          <w:sz w:val="26"/>
          <w:szCs w:val="26"/>
        </w:rPr>
        <w:t xml:space="preserve">CHARGE 1 — SUBSTANTIATED</w:t>
      </w:r>
    </w:p>
    <w:p>
      <w:pPr>
        <w:keepLines/>
        <w:spacing w:after="120" w:line="264"/>
        <w:jc w:val="both"/>
      </w:pPr>
      <w:r>
        <w:rPr>
          <w:rFonts w:ascii="Calibri" w:cs="Calibri" w:eastAsia="Calibri" w:hAnsi="Calibri"/>
          <w:sz w:val="22"/>
          <w:szCs w:val="22"/>
        </w:rPr>
        <w:t xml:space="preserve">Charge as noticed: Failure to complete the dual cash count, signed turnover, and immediate variance report for transaction TX-8821. Ground evaluated: the cited company-policy offense, without treating the policy label alone as an Article 297 ground. Exact policy, rule, duty, order, or statutory basis: Cash Handling Policy CHP-04, sections 3.2, 4.1, and 6.3, version effective 1 January 2026, recorded as a company-policy offense; serious misconduct under Article 297(a) [formerly 282(a)] was noticed and evaluated but not found, because the record does not show misconduct of a grave and aggravated character.</w:t>
      </w:r>
    </w:p>
    <w:p>
      <w:pPr>
        <w:keepLines/>
        <w:spacing w:after="120" w:line="264"/>
        <w:jc w:val="both"/>
      </w:pPr>
      <w:r>
        <w:rPr>
          <w:rFonts w:ascii="Calibri" w:cs="Calibri" w:eastAsia="Calibri" w:hAnsi="Calibri"/>
          <w:sz w:val="22"/>
          <w:szCs w:val="22"/>
        </w:rPr>
        <w:t xml:space="preserve">Facts established and material facts not established: Transaction TX-8821 recorded a PHP 12,500 cash payment under the employee's assigned credentials. The employee left the drawer and deposit envelope without completing the required dual count, did not sign the turnover sheet, and did not immediately report the known variance. The record does not establish that he retained or stole the missing cash.</w:t>
      </w:r>
    </w:p>
    <w:p>
      <w:pPr>
        <w:keepLines/>
        <w:spacing w:after="120" w:line="264"/>
        <w:jc w:val="both"/>
      </w:pPr>
      <w:r>
        <w:rPr>
          <w:rFonts w:ascii="Calibri" w:cs="Calibri" w:eastAsia="Calibri" w:hAnsi="Calibri"/>
          <w:sz w:val="22"/>
          <w:szCs w:val="22"/>
        </w:rPr>
        <w:t xml:space="preserve">Evidence relied on and limitations: The authenticated register log, closing reconciliation, unsigned turnover line, deposit-envelope record, policy acknowledgment, employee explanation, supervisor message, conference admissions, and CCTV sequence establish the omitted control steps. The camera does not continuously show the envelope contents and therefore does not establish theft.</w:t>
      </w:r>
    </w:p>
    <w:p>
      <w:pPr>
        <w:keepLines/>
        <w:spacing w:after="120" w:line="264"/>
        <w:jc w:val="both"/>
      </w:pPr>
      <w:r>
        <w:rPr>
          <w:rFonts w:ascii="Calibri" w:cs="Calibri" w:eastAsia="Calibri" w:hAnsi="Calibri"/>
          <w:sz w:val="22"/>
          <w:szCs w:val="22"/>
        </w:rPr>
        <w:t xml:space="preserve">Employee's material position: The employee admitted the missing count, signature, and immediate report but argued that the supervisor's reassignment caused confusion and that responsibility for the final reconciliation rested with the supervisor. He denied dishonesty and relied on the incomplete camera view.</w:t>
      </w:r>
    </w:p>
    <w:p>
      <w:pPr>
        <w:keepLines/>
        <w:spacing w:after="120" w:line="264"/>
        <w:jc w:val="both"/>
      </w:pPr>
      <w:r>
        <w:rPr>
          <w:rFonts w:ascii="Calibri" w:cs="Calibri" w:eastAsia="Calibri" w:hAnsi="Calibri"/>
          <w:sz w:val="22"/>
          <w:szCs w:val="22"/>
        </w:rPr>
        <w:t xml:space="preserve">Reasoned analysis: The communicated dual-count, signature, and immediate-report duties were work-related and known. The reassignment explains why the employee moved to another drawer but did not prevent a report or handoff and does not account for the missing signature. The omissions were deliberate after the variance was known and materially compromised cash controls. The evidence supports a serious breach of the cash-handling policy, but because it does not prove appropriation or misconduct of a grave and aggravated character showing unfitness to continue working, the panel records a company-policy offense rather than an Article 297 just cause, and the finding excludes theft, fraud, and loss of trust based on dishonesty. The finding is substantiated only; no broader accusation is adopted.</w:t>
      </w:r>
    </w:p>
    <w:p>
      <w:pPr>
        <w:pStyle w:val="Heading2"/>
        <w:keepNext/>
        <w:spacing w:after="120" w:before="240"/>
      </w:pPr>
      <w:r>
        <w:rPr>
          <w:rFonts w:ascii="Calibri" w:cs="Calibri" w:eastAsia="Calibri" w:hAnsi="Calibri"/>
          <w:b/>
          <w:bCs/>
          <w:color w:val="102B3F"/>
          <w:sz w:val="26"/>
          <w:szCs w:val="26"/>
        </w:rPr>
        <w:t xml:space="preserve">CHARGE 2 — NOT SUBSTANTIATED</w:t>
      </w:r>
    </w:p>
    <w:p>
      <w:pPr>
        <w:keepLines/>
        <w:spacing w:after="120" w:line="264"/>
        <w:jc w:val="both"/>
      </w:pPr>
      <w:r>
        <w:rPr>
          <w:rFonts w:ascii="Calibri" w:cs="Calibri" w:eastAsia="Calibri" w:hAnsi="Calibri"/>
          <w:sz w:val="22"/>
          <w:szCs w:val="22"/>
        </w:rPr>
        <w:t xml:space="preserve">Charge as noticed: Alleged dishonest appropriation of the PHP 12,500 collection. Ground evaluated: fraud or willful breach of trust under Article 297(c) [formerly 282(c)] of the Labor Code. Exact policy, rule, duty, order, or statutory basis: Cash Handling Policy CHP-04 section 7.1 and Article 297(c), requiring a willful breach supported by clearly established work-related facts.</w:t>
      </w:r>
    </w:p>
    <w:p>
      <w:pPr>
        <w:keepLines/>
        <w:spacing w:after="120" w:line="264"/>
        <w:jc w:val="both"/>
      </w:pPr>
      <w:r>
        <w:rPr>
          <w:rFonts w:ascii="Calibri" w:cs="Calibri" w:eastAsia="Calibri" w:hAnsi="Calibri"/>
          <w:sz w:val="22"/>
          <w:szCs w:val="22"/>
        </w:rPr>
        <w:t xml:space="preserve">Facts established and material facts not established: A PHP 12,500 variance existed after the shift and the employee handled the drawer and envelope during part of the sequence. The record does not establish who retained the cash, whether the envelope was complete when transferred, or that the employee acted dishonestly.</w:t>
      </w:r>
    </w:p>
    <w:p>
      <w:pPr>
        <w:keepLines/>
        <w:spacing w:after="120" w:line="264"/>
        <w:jc w:val="both"/>
      </w:pPr>
      <w:r>
        <w:rPr>
          <w:rFonts w:ascii="Calibri" w:cs="Calibri" w:eastAsia="Calibri" w:hAnsi="Calibri"/>
          <w:sz w:val="22"/>
          <w:szCs w:val="22"/>
        </w:rPr>
        <w:t xml:space="preserve">Evidence relied on and limitations: The register, reconciliation, turnover record, CCTV, witness accounts, and employee submission establish access and a variance but not appropriation. The camera angle has a material gap and no witness, recovery, admission, or reliable system record identifies the employee as retaining the money.</w:t>
      </w:r>
    </w:p>
    <w:p>
      <w:pPr>
        <w:keepLines/>
        <w:spacing w:after="120" w:line="264"/>
        <w:jc w:val="both"/>
      </w:pPr>
      <w:r>
        <w:rPr>
          <w:rFonts w:ascii="Calibri" w:cs="Calibri" w:eastAsia="Calibri" w:hAnsi="Calibri"/>
          <w:sz w:val="22"/>
          <w:szCs w:val="22"/>
        </w:rPr>
        <w:t xml:space="preserve">Employee's material position: The employee denied retaining any collection, identified the camera gap and shared access, and requested that the employer distinguish the admitted process failures from an unsupported dishonesty accusation.</w:t>
      </w:r>
    </w:p>
    <w:p>
      <w:pPr>
        <w:keepLines/>
        <w:spacing w:after="120" w:line="264"/>
        <w:jc w:val="both"/>
      </w:pPr>
      <w:r>
        <w:rPr>
          <w:rFonts w:ascii="Calibri" w:cs="Calibri" w:eastAsia="Calibri" w:hAnsi="Calibri"/>
          <w:sz w:val="22"/>
          <w:szCs w:val="22"/>
        </w:rPr>
        <w:t xml:space="preserve">Reasoned analysis: Access and an unexplained shortage create suspicion but do not constitute substantial evidence of a willful breach of trust. The record lacks a reliable act of appropriation, false entry, concealment, possession, or admission. The employer therefore rejects the fraud or dishonesty ground and will not use it to increase the penalty. The finding is not substantiated only; no broader accusation is adopted.</w:t>
      </w:r>
    </w:p>
    <w:p>
      <w:pPr>
        <w:pStyle w:val="Heading2"/>
        <w:keepNext/>
        <w:spacing w:after="120" w:before="240"/>
      </w:pPr>
      <w:r>
        <w:rPr>
          <w:rFonts w:ascii="Calibri" w:cs="Calibri" w:eastAsia="Calibri" w:hAnsi="Calibri"/>
          <w:b/>
          <w:bCs/>
          <w:color w:val="102B3F"/>
          <w:sz w:val="26"/>
          <w:szCs w:val="26"/>
        </w:rPr>
        <w:t xml:space="preserve">EVIDENCE STANDARD, FAIRNESS, AND PROPORTIONALITY</w:t>
      </w:r>
    </w:p>
    <w:p>
      <w:pPr>
        <w:keepLines/>
        <w:spacing w:after="120" w:line="264"/>
        <w:jc w:val="both"/>
      </w:pPr>
      <w:r>
        <w:rPr>
          <w:rFonts w:ascii="Calibri" w:cs="Calibri" w:eastAsia="Calibri" w:hAnsi="Calibri"/>
          <w:sz w:val="22"/>
          <w:szCs w:val="22"/>
        </w:rPr>
        <w:t xml:space="preserve">Every adverse finding above is limited to what the employer determined was supported by substantial evidence in the disclosed employment record. Suspicion, position title, a policy label, a generalized credibility conclusion, or the accusation itself is not treated as proof. The employer retains the burden of establishing a valid and proportionate basis for discipline or termination.</w:t>
      </w:r>
    </w:p>
    <w:p>
      <w:pPr>
        <w:keepLines/>
        <w:spacing w:after="120" w:line="264"/>
        <w:jc w:val="both"/>
      </w:pPr>
      <w:r>
        <w:rPr>
          <w:rFonts w:ascii="Calibri" w:cs="Calibri" w:eastAsia="Calibri" w:hAnsi="Calibri"/>
          <w:sz w:val="22"/>
          <w:szCs w:val="22"/>
        </w:rPr>
        <w:t xml:space="preserve">No prior disciplinary record was used to prove the present charge or increase the outcome.</w:t>
      </w:r>
    </w:p>
    <w:p>
      <w:pPr>
        <w:keepLines/>
        <w:spacing w:after="120" w:line="264"/>
        <w:jc w:val="both"/>
      </w:pPr>
      <w:r>
        <w:rPr>
          <w:rFonts w:ascii="Calibri" w:cs="Calibri" w:eastAsia="Calibri" w:hAnsi="Calibri"/>
          <w:sz w:val="22"/>
          <w:szCs w:val="22"/>
        </w:rPr>
        <w:t xml:space="preserve">Mitigating factors: The employee has more than three years of service without final discipline, admitted the control omissions, participated in the investigation, and identified a genuine supervisory reassignment that contributed to confusion. No evidence establishes personal gain or theft.</w:t>
      </w:r>
    </w:p>
    <w:p>
      <w:pPr>
        <w:keepLines/>
        <w:spacing w:after="120" w:line="264"/>
        <w:jc w:val="both"/>
      </w:pPr>
      <w:r>
        <w:rPr>
          <w:rFonts w:ascii="Calibri" w:cs="Calibri" w:eastAsia="Calibri" w:hAnsi="Calibri"/>
          <w:sz w:val="22"/>
          <w:szCs w:val="22"/>
        </w:rPr>
        <w:t xml:space="preserve">Supported aggravating factors: The employee knew of the variance before leaving the cash office, the omitted controls were central to his cashier role, and the failure delayed identification and preservation of the discrepancy.</w:t>
      </w:r>
    </w:p>
    <w:p>
      <w:pPr>
        <w:keepLines/>
        <w:spacing w:after="120" w:line="264"/>
        <w:jc w:val="both"/>
      </w:pPr>
      <w:r>
        <w:rPr>
          <w:rFonts w:ascii="Calibri" w:cs="Calibri" w:eastAsia="Calibri" w:hAnsi="Calibri"/>
          <w:sz w:val="22"/>
          <w:szCs w:val="22"/>
        </w:rPr>
        <w:t xml:space="preserve">Comparable-case consistency: A review of the prior two-year cashier discipline log identified two comparable first control failures without dishonesty; both resulted in final written warnings and retraining. No material distinction supports termination in this case.</w:t>
      </w:r>
    </w:p>
    <w:p>
      <w:pPr>
        <w:keepLines/>
        <w:spacing w:after="120" w:line="264"/>
        <w:jc w:val="both"/>
      </w:pPr>
      <w:r>
        <w:rPr>
          <w:rFonts w:ascii="Calibri" w:cs="Calibri" w:eastAsia="Calibri" w:hAnsi="Calibri"/>
          <w:sz w:val="22"/>
          <w:szCs w:val="22"/>
        </w:rPr>
        <w:t xml:space="preserve">Lesser and non-disciplinary alternatives considered: The panel considered case closure, coaching, ordinary warning, final warning with retraining, suspension, and termination. A final warning with mandatory cash-control retraining is sufficient because the process failures are proved but dishonesty is not, and comparable first cases received the same response.</w:t>
      </w:r>
    </w:p>
    <w:p>
      <w:pPr>
        <w:keepLines/>
        <w:spacing w:after="120" w:line="264"/>
        <w:jc w:val="both"/>
      </w:pPr>
      <w:r>
        <w:rPr>
          <w:rFonts w:ascii="Calibri" w:cs="Calibri" w:eastAsia="Calibri" w:hAnsi="Calibri"/>
          <w:sz w:val="22"/>
          <w:szCs w:val="22"/>
        </w:rPr>
        <w:t xml:space="preserve">The selected outcome is limited to final written warning and is stated to be proportionate to the established offense, role, actual or threatened impact, intent, employment record, mitigation, comparable treatment, and available lesser measures.</w:t>
      </w:r>
    </w:p>
    <w:p>
      <w:pPr>
        <w:pStyle w:val="Heading2"/>
        <w:keepNext/>
        <w:spacing w:after="120" w:before="240"/>
      </w:pPr>
      <w:r>
        <w:rPr>
          <w:rFonts w:ascii="Calibri" w:cs="Calibri" w:eastAsia="Calibri" w:hAnsi="Calibri"/>
          <w:b/>
          <w:bCs/>
          <w:color w:val="102B3F"/>
          <w:sz w:val="26"/>
          <w:szCs w:val="26"/>
        </w:rPr>
        <w:t xml:space="preserve">EFFECTIVITY AND EMPLOYMENT ADMINISTRATION</w:t>
      </w:r>
    </w:p>
    <w:p>
      <w:pPr>
        <w:keepLines/>
        <w:spacing w:after="120" w:line="264"/>
        <w:jc w:val="both"/>
      </w:pPr>
      <w:r>
        <w:rPr>
          <w:rFonts w:ascii="Calibri" w:cs="Calibri" w:eastAsia="Calibri" w:hAnsi="Calibri"/>
          <w:sz w:val="22"/>
          <w:szCs w:val="22"/>
        </w:rPr>
        <w:t xml:space="preserve">The stated outcome is effective on August 31, 2026 or actual service, whichever is later. Employment otherwise continues subject to lawful terms and the exact expectations in this decision.</w:t>
      </w:r>
    </w:p>
    <w:p>
      <w:pPr>
        <w:keepLines/>
        <w:spacing w:after="120" w:line="264"/>
        <w:jc w:val="both"/>
      </w:pPr>
      <w:r>
        <w:rPr>
          <w:rFonts w:ascii="Calibri" w:cs="Calibri" w:eastAsia="Calibri" w:hAnsi="Calibri"/>
          <w:sz w:val="22"/>
          <w:szCs w:val="22"/>
        </w:rPr>
        <w:t xml:space="preserve">Preventive-suspension administration: Preventive suspension ran from 20 through 29 August 2026, did not exceed 30 calendar days, and ended with payroll and actual reinstatement on 30 August before this final decision. Preventive suspension was an interim measure and was not itself treated as proof or punishment.</w:t>
      </w:r>
    </w:p>
    <w:p>
      <w:pPr>
        <w:keepLines/>
        <w:spacing w:after="120" w:line="264"/>
        <w:jc w:val="both"/>
      </w:pPr>
      <w:r>
        <w:rPr>
          <w:rFonts w:ascii="Calibri" w:cs="Calibri" w:eastAsia="Calibri" w:hAnsi="Calibri"/>
          <w:sz w:val="22"/>
          <w:szCs w:val="22"/>
        </w:rPr>
        <w:t xml:space="preserve">No final-pay or separation administration is triggered by this non-termination outcome.</w:t>
      </w:r>
    </w:p>
    <w:p>
      <w:pPr>
        <w:keepLines/>
        <w:spacing w:after="120" w:line="264"/>
        <w:jc w:val="both"/>
      </w:pPr>
      <w:r>
        <w:rPr>
          <w:rFonts w:ascii="Calibri" w:cs="Calibri" w:eastAsia="Calibri" w:hAnsi="Calibri"/>
          <w:sz w:val="22"/>
          <w:szCs w:val="22"/>
        </w:rPr>
        <w:t xml:space="preserve">Company property, physical/system access, and records: No separation clearance applies. The employee must preserve company records and use assigned systems only for authorized work; access changes for supervised closing counts will be documented without withholding ordinary pay or benefits. Statutory final pay, a Certificate of Employment, and undisputed amounts are not conditioned on signing an admission, release, quitclaim, or waiver.</w:t>
      </w:r>
    </w:p>
    <w:p>
      <w:pPr>
        <w:pStyle w:val="Heading2"/>
        <w:keepNext/>
        <w:spacing w:after="120" w:before="240"/>
      </w:pPr>
      <w:r>
        <w:rPr>
          <w:rFonts w:ascii="Calibri" w:cs="Calibri" w:eastAsia="Calibri" w:hAnsi="Calibri"/>
          <w:b/>
          <w:bCs/>
          <w:color w:val="102B3F"/>
          <w:sz w:val="26"/>
          <w:szCs w:val="26"/>
        </w:rPr>
        <w:t xml:space="preserve">SERVICE, REVIEW CHANNEL, AND RECORD</w:t>
      </w:r>
    </w:p>
    <w:p>
      <w:pPr>
        <w:keepLines/>
        <w:spacing w:after="120" w:line="264"/>
        <w:jc w:val="both"/>
      </w:pPr>
      <w:r>
        <w:rPr>
          <w:rFonts w:ascii="Calibri" w:cs="Calibri" w:eastAsia="Calibri" w:hAnsi="Calibri"/>
          <w:sz w:val="22"/>
          <w:szCs w:val="22"/>
        </w:rPr>
        <w:t xml:space="preserve">Planned service is on August 31, 2026 by personal service with dated proof of receipt or documented refusal at Makati Central Store, 1200 Ayala Avenue, Makati City. Supplemental delivery is only an additional copy and does not replace the required primary service route. Service and effectivity evidence will be preserved as follows: Retain the exact signed decision and cited attachments, dated personal-service receipt or two-witness refusal record, work and personal email transmission records, and the actual receipt date controlling effectivity.</w:t>
      </w:r>
    </w:p>
    <w:p>
      <w:pPr>
        <w:keepLines/>
        <w:spacing w:after="120" w:line="264"/>
        <w:jc w:val="both"/>
      </w:pPr>
      <w:r>
        <w:rPr>
          <w:rFonts w:ascii="Calibri" w:cs="Calibri" w:eastAsia="Calibri" w:hAnsi="Calibri"/>
          <w:sz w:val="22"/>
          <w:szCs w:val="22"/>
        </w:rPr>
        <w:t xml:space="preserve">Policy, CBA, grievance, reconsideration, appeal, or HR clarification channel: Submit a written reconsideration request to the HR Director within five calendar days of receipt or use any applicable union grievance route; identify the challenged finding, evidence, or sanction and attach supporting material. Use of an internal channel does not waive any nonwaivable right or prevent recourse to the proper labor authority, tribunal, or court.</w:t>
      </w:r>
    </w:p>
    <w:p>
      <w:pPr>
        <w:pStyle w:val="Heading2"/>
        <w:keepNext/>
        <w:spacing w:after="120" w:before="240"/>
      </w:pPr>
      <w:r>
        <w:rPr>
          <w:rFonts w:ascii="Calibri" w:cs="Calibri" w:eastAsia="Calibri" w:hAnsi="Calibri"/>
          <w:b/>
          <w:bCs/>
          <w:color w:val="102B3F"/>
          <w:sz w:val="26"/>
          <w:szCs w:val="26"/>
        </w:rPr>
        <w:t xml:space="preserve">PRIVACY, NON-RETALIATION, AND NO WAIVER</w:t>
      </w:r>
    </w:p>
    <w:p>
      <w:pPr>
        <w:keepLines/>
        <w:spacing w:after="120" w:line="264"/>
        <w:jc w:val="both"/>
      </w:pPr>
      <w:r>
        <w:rPr>
          <w:rFonts w:ascii="Calibri" w:cs="Calibri" w:eastAsia="Calibri" w:hAnsi="Calibri"/>
          <w:sz w:val="22"/>
          <w:szCs w:val="22"/>
        </w:rPr>
        <w:t xml:space="preserve">The first notice, evidence, employee response, conference, deliberation, decision, and service records will be restricted to authorized need-to-know recipients; used only for lawful, necessary, and proportionate purposes; protected against unauthorized access or gossip; retained only as required; and handled consistently with applicable data-privacy duties.</w:t>
      </w:r>
    </w:p>
    <w:p>
      <w:pPr>
        <w:keepLines/>
        <w:spacing w:after="120" w:line="264"/>
        <w:jc w:val="both"/>
      </w:pPr>
      <w:r>
        <w:rPr>
          <w:rFonts w:ascii="Calibri" w:cs="Calibri" w:eastAsia="Calibri" w:hAnsi="Calibri"/>
          <w:sz w:val="22"/>
          <w:szCs w:val="22"/>
        </w:rPr>
        <w:t xml:space="preserve">This decision does not authorize retaliation for union or concerted activity, wage or safety concerns, protected leave, discrimination complaints, whistleblowing, testimony, data-subject requests, or other protected conduct. Receipt is not an admission, agreement with the findings, waiver, quitclaim, or surrender of the right to contest the outcome.</w:t>
      </w:r>
    </w:p>
    <w:p>
      <w:pPr>
        <w:keepNext/>
        <w:spacing w:after="260" w:before="360"/>
      </w:pPr>
      <w:r>
        <w:rPr>
          <w:rFonts w:ascii="Calibri" w:cs="Calibri" w:eastAsia="Calibri" w:hAnsi="Calibri"/>
          <w:b/>
          <w:bCs/>
          <w:sz w:val="22"/>
          <w:szCs w:val="22"/>
        </w:rPr>
        <w:t xml:space="preserve">Issued by the Employer through its authorized officer. The employee's signature below, under "Received (receipt only)", confirms only the date and time of receipt. It is not agreement with the findings, an admission, or a waiver.</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Bayanihan Retail Corporation</w:t>
            </w:r>
          </w:p>
          <w:p>
            <w:pPr>
              <w:spacing w:after="120"/>
            </w:pPr>
            <w:r>
              <w:rPr>
                <w:rFonts w:ascii="Calibri" w:cs="Calibri" w:eastAsia="Calibri" w:hAnsi="Calibri"/>
                <w:sz w:val="22"/>
                <w:szCs w:val="22"/>
              </w:rPr>
              <w:t xml:space="preserve">By: Andrea Reyes
Signature: ______________________________</w:t>
            </w:r>
          </w:p>
          <w:p>
            <w:pPr>
              <w:spacing w:after="120"/>
            </w:pPr>
            <w:r>
              <w:rPr>
                <w:rFonts w:ascii="Calibri" w:cs="Calibri" w:eastAsia="Calibri" w:hAnsi="Calibri"/>
                <w:sz w:val="22"/>
                <w:szCs w:val="22"/>
              </w:rPr>
              <w:t xml:space="preserve">Human Resources Manager</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Juan Miguel Santos</w:t>
            </w:r>
          </w:p>
          <w:p>
            <w:pPr>
              <w:spacing w:after="120"/>
            </w:pPr>
            <w:r>
              <w:rPr>
                <w:rFonts w:ascii="Calibri" w:cs="Calibri" w:eastAsia="Calibri" w:hAnsi="Calibri"/>
                <w:sz w:val="22"/>
                <w:szCs w:val="22"/>
              </w:rPr>
              <w:t xml:space="preserve">Received (receipt only) on: __________________ at: __________
Signature: ______________________________</w:t>
            </w:r>
          </w:p>
          <w:p>
            <w:pPr>
              <w:spacing w:after="120"/>
            </w:pPr>
            <w:r>
              <w:rPr>
                <w:rFonts w:ascii="Calibri" w:cs="Calibri" w:eastAsia="Calibri" w:hAnsi="Calibri"/>
                <w:sz w:val="22"/>
                <w:szCs w:val="22"/>
              </w:rPr>
              <w:t xml:space="preserve">Acknowledgment of receipt only — not an admission, agreement, quitclaim, or waiver</w:t>
            </w:r>
          </w:p>
          <w:p>
            <w:r>
              <w:rPr>
                <w:rFonts w:ascii="Calibri" w:cs="Calibri" w:eastAsia="Calibri" w:hAnsi="Calibri"/>
                <w:sz w:val="22"/>
                <w:szCs w:val="22"/>
              </w:rPr>
              <w:t xml:space="preserve">Date: ______________________________</w:t>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Before service, have an authorized labor-relations reviewer compare every finding against the exact first notice, proof of actual receipt, response deadline, complete employee submission, conference record, disclosed management evidence, material contrary facts, policy version, CBA, and decision-maker authority.</w:t>
      </w:r>
    </w:p>
    <w:p>
      <w:pPr>
        <w:pStyle w:val="ListParagraph"/>
        <w:keepNext/>
        <w:numPr>
          <w:ilvl w:val="0"/>
          <w:numId w:val="1"/>
        </w:numPr>
        <w:spacing w:after="120" w:line="264"/>
      </w:pPr>
      <w:r>
        <w:rPr>
          <w:rFonts w:ascii="Calibri" w:cs="Calibri" w:eastAsia="Calibri" w:hAnsi="Calibri"/>
          <w:sz w:val="22"/>
          <w:szCs w:val="22"/>
        </w:rPr>
        <w:t xml:space="preserve">Remove every new or materially changed charge, incident, ground, or evidence item the employee had no meaningful opportunity to answer. If it may affect the result, reopen the process with a specific supplemental notice and fair response opportunity instead of inserting it into this decision.</w:t>
      </w:r>
    </w:p>
    <w:p>
      <w:pPr>
        <w:pStyle w:val="ListParagraph"/>
        <w:keepNext/>
        <w:numPr>
          <w:ilvl w:val="0"/>
          <w:numId w:val="1"/>
        </w:numPr>
        <w:spacing w:after="120" w:line="264"/>
      </w:pPr>
      <w:r>
        <w:rPr>
          <w:rFonts w:ascii="Calibri" w:cs="Calibri" w:eastAsia="Calibri" w:hAnsi="Calibri"/>
          <w:sz w:val="22"/>
          <w:szCs w:val="22"/>
        </w:rPr>
        <w:t xml:space="preserve">For each charge, keep separate records of the noticed allegation, required legal/policy elements, facts established and not established, evidence and limitations, employee position, reasoned analysis, and exact finding. Do not copy the accusation as the decision.</w:t>
      </w:r>
    </w:p>
    <w:p>
      <w:pPr>
        <w:pStyle w:val="ListParagraph"/>
        <w:keepNext/>
        <w:numPr>
          <w:ilvl w:val="0"/>
          <w:numId w:val="1"/>
        </w:numPr>
        <w:spacing w:after="120" w:line="264"/>
      </w:pPr>
      <w:r>
        <w:rPr>
          <w:rFonts w:ascii="Calibri" w:cs="Calibri" w:eastAsia="Calibri" w:hAnsi="Calibri"/>
          <w:sz w:val="22"/>
          <w:szCs w:val="22"/>
        </w:rPr>
        <w:t xml:space="preserve">Confirm substantial evidence and ground-specific requirements. A company-policy label alone cannot establish an Article 297 just cause, and a partial, unresolved, or unsubstantiated charge cannot be presented as fully proved.</w:t>
      </w:r>
    </w:p>
    <w:p>
      <w:pPr>
        <w:pStyle w:val="ListParagraph"/>
        <w:keepNext/>
        <w:numPr>
          <w:ilvl w:val="0"/>
          <w:numId w:val="1"/>
        </w:numPr>
        <w:spacing w:after="120" w:line="264"/>
      </w:pPr>
      <w:r>
        <w:rPr>
          <w:rFonts w:ascii="Calibri" w:cs="Calibri" w:eastAsia="Calibri" w:hAnsi="Calibri"/>
          <w:sz w:val="22"/>
          <w:szCs w:val="22"/>
        </w:rPr>
        <w:t xml:space="preserve">Document mitigation, aggravation, length and quality of service, valid prior discipline, comparable cases, actual impact, intent, corrective action, and lesser alternatives. Reassess any dismissal that a proportionate warning, coaching, transfer, or suspension would adequately address.</w:t>
      </w:r>
    </w:p>
    <w:p>
      <w:pPr>
        <w:pStyle w:val="ListParagraph"/>
        <w:keepNext/>
        <w:numPr>
          <w:ilvl w:val="0"/>
          <w:numId w:val="1"/>
        </w:numPr>
        <w:spacing w:after="120" w:line="264"/>
      </w:pPr>
      <w:r>
        <w:rPr>
          <w:rFonts w:ascii="Calibri" w:cs="Calibri" w:eastAsia="Calibri" w:hAnsi="Calibri"/>
          <w:sz w:val="22"/>
          <w:szCs w:val="22"/>
        </w:rPr>
        <w:t xml:space="preserve">Confirm the lesser outcome is authorized by the valid policy/CBA, definite and understandable, not retroactive, and does not informally impose a harsher loss of pay, position, access, or benefits than the stated decision.</w:t>
      </w:r>
    </w:p>
    <w:p>
      <w:pPr>
        <w:pStyle w:val="ListParagraph"/>
        <w:keepNext/>
        <w:numPr>
          <w:ilvl w:val="0"/>
          <w:numId w:val="1"/>
        </w:numPr>
        <w:spacing w:after="120" w:line="264"/>
      </w:pPr>
      <w:r>
        <w:rPr>
          <w:rFonts w:ascii="Calibri" w:cs="Calibri" w:eastAsia="Calibri" w:hAnsi="Calibri"/>
          <w:sz w:val="22"/>
          <w:szCs w:val="22"/>
        </w:rPr>
        <w:t xml:space="preserve">Reconcile preventive-suspension dates, the 30-day ceiling, actual/payroll reinstatement or paid extension, and any lawful credit against a final suspension without double punishment.</w:t>
      </w:r>
    </w:p>
    <w:p>
      <w:pPr>
        <w:pStyle w:val="ListParagraph"/>
        <w:keepNext/>
        <w:numPr>
          <w:ilvl w:val="0"/>
          <w:numId w:val="1"/>
        </w:numPr>
        <w:spacing w:after="120" w:line="264"/>
      </w:pPr>
      <w:r>
        <w:rPr>
          <w:rFonts w:ascii="Calibri" w:cs="Calibri" w:eastAsia="Calibri" w:hAnsi="Calibri"/>
          <w:sz w:val="22"/>
          <w:szCs w:val="22"/>
        </w:rPr>
        <w:t xml:space="preserve">Serve the exact signed decision and referenced attachments by personal service with dated proof of receipt or documented refusal; preserve objective receipt, refusal, return, tracking, address, supplemental-copy, and effective-date evidence. Never backdate the decision or effectivity.</w:t>
      </w:r>
    </w:p>
    <w:p>
      <w:pPr>
        <w:pStyle w:val="ListParagraph"/>
        <w:keepNext/>
        <w:numPr>
          <w:ilvl w:val="0"/>
          <w:numId w:val="1"/>
        </w:numPr>
        <w:spacing w:after="120" w:line="264"/>
      </w:pPr>
      <w:r>
        <w:rPr>
          <w:rFonts w:ascii="Calibri" w:cs="Calibri" w:eastAsia="Calibri" w:hAnsi="Calibri"/>
          <w:sz w:val="22"/>
          <w:szCs w:val="22"/>
        </w:rPr>
        <w:t xml:space="preserve">Keep final pay, COE, statutory records, and undisputed amounts separate from clearance, admissions, releases, quitclaims, and waivers. Use current DOLE guidance and any more favorable company policy or agreement.</w:t>
      </w:r>
    </w:p>
    <w:p>
      <w:pPr>
        <w:pStyle w:val="ListParagraph"/>
        <w:keepNext w:val="false"/>
        <w:numPr>
          <w:ilvl w:val="0"/>
          <w:numId w:val="1"/>
        </w:numPr>
        <w:spacing w:after="120" w:line="264"/>
      </w:pPr>
      <w:r>
        <w:rPr>
          <w:rFonts w:ascii="Calibri" w:cs="Calibri" w:eastAsia="Calibri" w:hAnsi="Calibri"/>
          <w:sz w:val="22"/>
          <w:szCs w:val="22"/>
        </w:rPr>
        <w:t xml:space="preserve">Restrict the disciplinary record to lawful need-to-know use. Preserve the decision worksheet and source records for any internal review, grievance, DOLE/NLRC proceeding, or court challenge. Independent Philippine labor-lawyer review of this template remains pending.</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labor-lawyer review pending | Last legal check 2026-10-01 | Next review due 2026-11-30</w:t>
      </w:r>
    </w:p>
    <w:p>
      <w:pPr>
        <w:keepNext/>
        <w:spacing w:after="60" w:before="100"/>
      </w:pPr>
      <w:r>
        <w:rPr>
          <w:rFonts w:ascii="Calibri" w:cs="Calibri" w:eastAsia="Calibri" w:hAnsi="Calibri"/>
          <w:b/>
          <w:bCs/>
          <w:sz w:val="18"/>
          <w:szCs w:val="18"/>
        </w:rPr>
        <w:t xml:space="preserve">Labor Code of the Philippines, as amended and renumbered — DOLE 2022 edition - Articles 294 [279], 297 [282], and 292(b) [277(b)]: security of tenure, just causes, written notice, opportunity to be heard, contest rights, and employer burden (checked 2026-10-01)</w:t>
      </w:r>
    </w:p>
    <w:p>
      <w:pPr>
        <w:spacing w:after="120"/>
      </w:pPr>
      <w:hyperlink w:history="1" r:id="rIdejbgpymxhfuq69erdvrtn">
        <w:r>
          <w:rPr>
            <w:rFonts w:ascii="Calibri" w:cs="Calibri" w:eastAsia="Calibri" w:hAnsi="Calibri"/>
            <w:color w:val="315B75"/>
            <w:sz w:val="17"/>
            <w:szCs w:val="17"/>
            <w:u w:val="single"/>
          </w:rPr>
          <w:t xml:space="preserve">https://web.archive.org/web/20220402205705/https://bwc.dole.gov.ph/images/Downloads/2022_02_02_LaborCode_ofthe_Philippines_2022DOLE_edition.pdf</w:t>
        </w:r>
      </w:hyperlink>
    </w:p>
    <w:p>
      <w:pPr>
        <w:keepNext/>
        <w:spacing w:after="60" w:before="100"/>
      </w:pPr>
      <w:r>
        <w:rPr>
          <w:rFonts w:ascii="Calibri" w:cs="Calibri" w:eastAsia="Calibri" w:hAnsi="Calibri"/>
          <w:b/>
          <w:bCs/>
          <w:sz w:val="18"/>
          <w:szCs w:val="18"/>
        </w:rPr>
        <w:t xml:space="preserve">Department Order No. 147-15 - Book VI standards for just-cause termination (Sec. 5.2: serious misconduct must be of grave and aggravated character and show the employee is unfit to continue working), first and second written notices, opportunity to be heard, and service (checked 2026-10-01)</w:t>
      </w:r>
    </w:p>
    <w:p>
      <w:pPr>
        <w:spacing w:after="120"/>
      </w:pPr>
      <w:hyperlink w:history="1" r:id="rIdgcixyqt28j2b5wefqemmk">
        <w:r>
          <w:rPr>
            <w:rFonts w:ascii="Calibri" w:cs="Calibri" w:eastAsia="Calibri" w:hAnsi="Calibri"/>
            <w:color w:val="315B75"/>
            <w:sz w:val="17"/>
            <w:szCs w:val="17"/>
            <w:u w:val="single"/>
          </w:rPr>
          <w:t xml:space="preserve">https://web.archive.org/web/20211027155141/https://www.dole.gov.ph/php_assets/uploads/2017/07/Dept-Order-No_-147-15.pdf</w:t>
        </w:r>
      </w:hyperlink>
    </w:p>
    <w:p>
      <w:pPr>
        <w:keepNext/>
        <w:spacing w:after="60" w:before="100"/>
      </w:pPr>
      <w:r>
        <w:rPr>
          <w:rFonts w:ascii="Calibri" w:cs="Calibri" w:eastAsia="Calibri" w:hAnsi="Calibri"/>
          <w:b/>
          <w:bCs/>
          <w:sz w:val="18"/>
          <w:szCs w:val="18"/>
        </w:rPr>
        <w:t xml:space="preserve">DOLE Department Order No. 9, Series of 1997 (Rules Implementing Book V), Rule XXIII - Rule XXIII, Sec. 7: monthly report of dismissals to the DOLE Regional Office (whether it still applies to just-cause dismissals should be confirmed with DOLE) (checked 2026-10-01)</w:t>
      </w:r>
    </w:p>
    <w:p>
      <w:pPr>
        <w:spacing w:after="120"/>
      </w:pPr>
      <w:hyperlink w:history="1" r:id="rIdeqsthte0tlemlaxihyxd3">
        <w:r>
          <w:rPr>
            <w:rFonts w:ascii="Calibri" w:cs="Calibri" w:eastAsia="Calibri" w:hAnsi="Calibri"/>
            <w:color w:val="315B75"/>
            <w:sz w:val="17"/>
            <w:szCs w:val="17"/>
            <w:u w:val="single"/>
          </w:rPr>
          <w:t xml:space="preserve">https://elibrary.judiciary.gov.ph/thebookshelf/showdocs/10/40878</w:t>
        </w:r>
      </w:hyperlink>
    </w:p>
    <w:p>
      <w:pPr>
        <w:keepNext/>
        <w:spacing w:after="60" w:before="100"/>
      </w:pPr>
      <w:r>
        <w:rPr>
          <w:rFonts w:ascii="Calibri" w:cs="Calibri" w:eastAsia="Calibri" w:hAnsi="Calibri"/>
          <w:b/>
          <w:bCs/>
          <w:sz w:val="18"/>
          <w:szCs w:val="18"/>
        </w:rPr>
        <w:t xml:space="preserve">Milan v. National Labor Relations Commission, G.R. No. 202961 (February 4, 2015) - Requiring clearance before the release of last pay is a standard procedure (checked 2026-10-01)</w:t>
      </w:r>
    </w:p>
    <w:p>
      <w:pPr>
        <w:spacing w:after="120"/>
      </w:pPr>
      <w:hyperlink w:history="1" r:id="rId8kltqeorhpzddvguhmkc6">
        <w:r>
          <w:rPr>
            <w:rFonts w:ascii="Calibri" w:cs="Calibri" w:eastAsia="Calibri" w:hAnsi="Calibri"/>
            <w:color w:val="315B75"/>
            <w:sz w:val="17"/>
            <w:szCs w:val="17"/>
            <w:u w:val="single"/>
          </w:rPr>
          <w:t xml:space="preserve">https://lawphil.net/judjuris/juri2015/feb2015/gr_202961_2015.html</w:t>
        </w:r>
      </w:hyperlink>
    </w:p>
    <w:p>
      <w:pPr>
        <w:keepNext/>
        <w:spacing w:after="60" w:before="100"/>
      </w:pPr>
      <w:r>
        <w:rPr>
          <w:rFonts w:ascii="Calibri" w:cs="Calibri" w:eastAsia="Calibri" w:hAnsi="Calibri"/>
          <w:b/>
          <w:bCs/>
          <w:sz w:val="18"/>
          <w:szCs w:val="18"/>
        </w:rPr>
        <w:t xml:space="preserve">King of Kings Transport, Inc. v. Mamac - The written termination notice must show that all circumstances were considered and grounds were established (checked 2026-08-31)</w:t>
      </w:r>
    </w:p>
    <w:p>
      <w:pPr>
        <w:spacing w:after="120"/>
      </w:pPr>
      <w:hyperlink w:history="1" r:id="rIdk661q4vulr8u7d2ne_7k1">
        <w:r>
          <w:rPr>
            <w:rFonts w:ascii="Calibri" w:cs="Calibri" w:eastAsia="Calibri" w:hAnsi="Calibri"/>
            <w:color w:val="315B75"/>
            <w:sz w:val="17"/>
            <w:szCs w:val="17"/>
            <w:u w:val="single"/>
          </w:rPr>
          <w:t xml:space="preserve">https://lawphil.net/judjuris/juri2007/jun2007/gr_166208_2007.html</w:t>
        </w:r>
      </w:hyperlink>
    </w:p>
    <w:p>
      <w:pPr>
        <w:keepNext/>
        <w:spacing w:after="60" w:before="100"/>
      </w:pPr>
      <w:r>
        <w:rPr>
          <w:rFonts w:ascii="Calibri" w:cs="Calibri" w:eastAsia="Calibri" w:hAnsi="Calibri"/>
          <w:b/>
          <w:bCs/>
          <w:sz w:val="18"/>
          <w:szCs w:val="18"/>
        </w:rPr>
        <w:t xml:space="preserve">St. Michael's Institute v. Santos - Fair and reasonable rules, proportionality, length of service, violation history, and lesser penalties (checked 2026-08-31)</w:t>
      </w:r>
    </w:p>
    <w:p>
      <w:pPr>
        <w:spacing w:after="120"/>
      </w:pPr>
      <w:hyperlink w:history="1" r:id="rIdpykgh0ekf-oznr1kyeg21">
        <w:r>
          <w:rPr>
            <w:rFonts w:ascii="Calibri" w:cs="Calibri" w:eastAsia="Calibri" w:hAnsi="Calibri"/>
            <w:color w:val="315B75"/>
            <w:sz w:val="17"/>
            <w:szCs w:val="17"/>
            <w:u w:val="single"/>
          </w:rPr>
          <w:t xml:space="preserve">https://lawphil.net/judjuris/juri2001/dec2001/gr_145280_2001.html</w:t>
        </w:r>
      </w:hyperlink>
    </w:p>
    <w:p>
      <w:pPr>
        <w:keepNext/>
        <w:spacing w:after="60" w:before="100"/>
      </w:pPr>
      <w:r>
        <w:rPr>
          <w:rFonts w:ascii="Calibri" w:cs="Calibri" w:eastAsia="Calibri" w:hAnsi="Calibri"/>
          <w:b/>
          <w:bCs/>
          <w:sz w:val="18"/>
          <w:szCs w:val="18"/>
        </w:rPr>
        <w:t xml:space="preserve">Labor Advisory No. 06, Series of 2020 - Guidelines on final pay (within 30 days from separation) and issuance of a Certificate of Employment (within three days of request) (checked 2026-10-01)</w:t>
      </w:r>
    </w:p>
    <w:p>
      <w:pPr>
        <w:spacing w:after="120"/>
      </w:pPr>
      <w:hyperlink w:history="1" r:id="rIdofngou-z0cwo454_sux7f">
        <w:r>
          <w:rPr>
            <w:rFonts w:ascii="Calibri" w:cs="Calibri" w:eastAsia="Calibri" w:hAnsi="Calibri"/>
            <w:color w:val="315B75"/>
            <w:sz w:val="17"/>
            <w:szCs w:val="17"/>
            <w:u w:val="single"/>
          </w:rPr>
          <w:t xml:space="preserve">https://web.archive.org/web/20210926103531/https://www.dole.gov.ph/php_assets/uploads/2020/02/Labor-Advisory-No.-06-20-Guidelines-on-the-Payment-of-Final-Pay-and-Issuance-of-Certificate-of-Emplo.pdf</w:t>
        </w:r>
      </w:hyperlink>
    </w:p>
    <w:p>
      <w:pPr>
        <w:keepNext/>
        <w:spacing w:after="60" w:before="100"/>
      </w:pPr>
      <w:r>
        <w:rPr>
          <w:rFonts w:ascii="Calibri" w:cs="Calibri" w:eastAsia="Calibri" w:hAnsi="Calibri"/>
          <w:b/>
          <w:bCs/>
          <w:sz w:val="18"/>
          <w:szCs w:val="18"/>
        </w:rPr>
        <w:t xml:space="preserve">Data Privacy Act of 2012 - Transparency, legitimate purpose, proportionality, security, and data-subject rights for disciplinary records (checked 2026-08-31)</w:t>
      </w:r>
    </w:p>
    <w:p>
      <w:pPr>
        <w:spacing w:after="120"/>
      </w:pPr>
      <w:hyperlink w:history="1" r:id="rIdsy0sofrboqzfnjbtvv1rn">
        <w:r>
          <w:rPr>
            <w:rFonts w:ascii="Calibri" w:cs="Calibri" w:eastAsia="Calibri" w:hAnsi="Calibri"/>
            <w:color w:val="315B75"/>
            <w:sz w:val="17"/>
            <w:szCs w:val="17"/>
            <w:u w:val="single"/>
          </w:rPr>
          <w:t xml:space="preserve">https://lawphil.net/statutes/repacts/ra2012/ra_10173_2012.html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jbgpymxhfuq69erdvrtn" Type="http://schemas.openxmlformats.org/officeDocument/2006/relationships/hyperlink" Target="https://web.archive.org/web/20220402205705/https://bwc.dole.gov.ph/images/Downloads/2022_02_02_LaborCode_ofthe_Philippines_2022DOLE_edition.pdf" TargetMode="External"/><Relationship Id="rIdgcixyqt28j2b5wefqemmk" Type="http://schemas.openxmlformats.org/officeDocument/2006/relationships/hyperlink" Target="https://web.archive.org/web/20211027155141/https://www.dole.gov.ph/php_assets/uploads/2017/07/Dept-Order-No_-147-15.pdf" TargetMode="External"/><Relationship Id="rIdeqsthte0tlemlaxihyxd3" Type="http://schemas.openxmlformats.org/officeDocument/2006/relationships/hyperlink" Target="https://elibrary.judiciary.gov.ph/thebookshelf/showdocs/10/40878" TargetMode="External"/><Relationship Id="rId8kltqeorhpzddvguhmkc6" Type="http://schemas.openxmlformats.org/officeDocument/2006/relationships/hyperlink" Target="https://lawphil.net/judjuris/juri2015/feb2015/gr_202961_2015.html" TargetMode="External"/><Relationship Id="rIdk661q4vulr8u7d2ne_7k1" Type="http://schemas.openxmlformats.org/officeDocument/2006/relationships/hyperlink" Target="https://lawphil.net/judjuris/juri2007/jun2007/gr_166208_2007.html" TargetMode="External"/><Relationship Id="rIdpykgh0ekf-oznr1kyeg21" Type="http://schemas.openxmlformats.org/officeDocument/2006/relationships/hyperlink" Target="https://lawphil.net/judjuris/juri2001/dec2001/gr_145280_2001.html" TargetMode="External"/><Relationship Id="rIdofngou-z0cwo454_sux7f" Type="http://schemas.openxmlformats.org/officeDocument/2006/relationships/hyperlink" Target="https://web.archive.org/web/20210926103531/https://www.dole.gov.ph/php_assets/uploads/2020/02/Labor-Advisory-No.-06-20-Guidelines-on-the-Payment-of-Final-Pay-and-Issuance-of-Certificate-of-Emplo.pdf" TargetMode="External"/><Relationship Id="rIdsy0sofrboqzfnjbtvv1rn" Type="http://schemas.openxmlformats.org/officeDocument/2006/relationships/hyperlink" Target="https://lawphil.net/statutes/repacts/ra2012/ra_10173_2012.html"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Disciplinary Decision</dc:title>
  <dc:creator>LAW.PH</dc:creator>
  <dc:description>Free sample of the Notice of Disciplinary Decision from LAW.PH, with fictional details</dc:description>
  <cp:lastModifiedBy>Un-named</cp:lastModifiedBy>
  <cp:revision>1</cp:revision>
  <dcterms:created xsi:type="dcterms:W3CDTF">2026-10-02T05:29:58.833Z</dcterms:created>
  <dcterms:modified xsi:type="dcterms:W3CDTF">2026-10-02T05:29:58.833Z</dcterms:modified>
</cp:coreProperties>
</file>

<file path=docProps/custom.xml><?xml version="1.0" encoding="utf-8"?>
<Properties xmlns="http://schemas.openxmlformats.org/officeDocument/2006/custom-properties" xmlns:vt="http://schemas.openxmlformats.org/officeDocument/2006/docPropsVTypes"/>
</file>