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FORMAL DEMAND TO PAY OR COMPLY AND TO VACATE</w:t>
      </w:r>
    </w:p>
    <w:p>
      <w:pPr>
        <w:spacing w:after="160"/>
        <w:jc w:val="center"/>
      </w:pPr>
      <w:r>
        <w:rPr>
          <w:rFonts w:ascii="Calibri" w:cs="Calibri" w:eastAsia="Calibri" w:hAnsi="Calibri"/>
          <w:color w:val="566674"/>
          <w:sz w:val="18"/>
          <w:szCs w:val="18"/>
        </w:rPr>
        <w:t xml:space="preserve">Philippine lease notice · 0.2.0 · Independent Philippine lawyer review pending</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ENGINEERING DRAFT — VERIFY FACTS, SERVICE, DEADLINES, AND CURRENT LAW BEFORE USE</w:t>
      </w:r>
    </w:p>
    <w:p>
      <w:pPr>
        <w:keepLines/>
        <w:spacing w:after="120" w:line="264"/>
        <w:jc w:val="both"/>
      </w:pPr>
      <w:r>
        <w:rPr>
          <w:rFonts w:ascii="Calibri" w:cs="Calibri" w:eastAsia="Calibri" w:hAnsi="Calibri"/>
          <w:sz w:val="22"/>
          <w:szCs w:val="22"/>
        </w:rPr>
        <w:t xml:space="preserve">August 30, 2026</w:t>
      </w:r>
    </w:p>
    <w:p>
      <w:pPr>
        <w:keepLines/>
        <w:spacing w:after="120" w:line="264"/>
        <w:jc w:val="both"/>
      </w:pPr>
      <w:r>
        <w:rPr>
          <w:rFonts w:ascii="Calibri" w:cs="Calibri" w:eastAsia="Calibri" w:hAnsi="Calibri"/>
          <w:sz w:val="22"/>
          <w:szCs w:val="22"/>
        </w:rPr>
        <w:t xml:space="preserve">Juan D. Reyes
Unit 2B, 15 Sampaguita Street, Barangay Poblacion, Quezon City 1100, Philippines
juan.reyes@example.com</w:t>
      </w:r>
    </w:p>
    <w:p>
      <w:pPr>
        <w:keepLines/>
        <w:spacing w:after="120" w:line="264"/>
        <w:jc w:val="both"/>
      </w:pPr>
      <w:r>
        <w:rPr>
          <w:rFonts w:ascii="Calibri" w:cs="Calibri" w:eastAsia="Calibri" w:hAnsi="Calibri"/>
          <w:sz w:val="22"/>
          <w:szCs w:val="22"/>
        </w:rPr>
        <w:t xml:space="preserve">RE: Unit 2B, 15 Sampaguita Street, Barangay Poblacion, Quezon City 1100, Philippines · RLA-2B-2026</w:t>
      </w:r>
    </w:p>
    <w:p>
      <w:pPr>
        <w:keepLines/>
        <w:spacing w:after="120" w:line="264"/>
        <w:jc w:val="both"/>
      </w:pPr>
      <w:r>
        <w:rPr>
          <w:rFonts w:ascii="Calibri" w:cs="Calibri" w:eastAsia="Calibri" w:hAnsi="Calibri"/>
          <w:sz w:val="22"/>
          <w:szCs w:val="22"/>
        </w:rPr>
        <w:t xml:space="preserve">Dear Juan D. Reyes:</w:t>
      </w:r>
    </w:p>
    <w:p>
      <w:pPr>
        <w:pStyle w:val="Heading2"/>
        <w:keepNext/>
        <w:spacing w:after="120" w:before="240"/>
      </w:pPr>
      <w:r>
        <w:rPr>
          <w:rFonts w:ascii="Calibri" w:cs="Calibri" w:eastAsia="Calibri" w:hAnsi="Calibri"/>
          <w:b/>
          <w:bCs/>
          <w:color w:val="102B3F"/>
          <w:sz w:val="26"/>
          <w:szCs w:val="26"/>
        </w:rPr>
        <w:t xml:space="preserve">1. Parties, authority, and premises</w:t>
      </w:r>
    </w:p>
    <w:p>
      <w:pPr>
        <w:keepLines/>
        <w:spacing w:after="120" w:line="264"/>
        <w:jc w:val="both"/>
      </w:pPr>
      <w:r>
        <w:rPr>
          <w:rFonts w:ascii="Calibri" w:cs="Calibri" w:eastAsia="Calibri" w:hAnsi="Calibri"/>
          <w:sz w:val="22"/>
          <w:szCs w:val="22"/>
        </w:rPr>
        <w:t xml:space="preserve">Maria L. Santos, of 15 Sampaguita Street, Barangay Poblacion, Quezon City 1100, Philippines, issues this notice as the lessor or duly authorized claimant. Maria L. Santos is the registered owner and named lessor under the signed lease; the current title copy, tax declaration, lease, and identification are retained with the notice file.</w:t>
      </w:r>
    </w:p>
    <w:p>
      <w:pPr>
        <w:keepLines/>
        <w:spacing w:after="120" w:line="264"/>
        <w:jc w:val="both"/>
      </w:pPr>
      <w:r>
        <w:rPr>
          <w:rFonts w:ascii="Calibri" w:cs="Calibri" w:eastAsia="Calibri" w:hAnsi="Calibri"/>
          <w:sz w:val="22"/>
          <w:szCs w:val="22"/>
        </w:rPr>
        <w:t xml:space="preserve">The premises is Unit 2B, 15 Sampaguita Street, Barangay Poblacion, Quezon City 1100, Philippines. Second-floor residential apartment Unit 2B, approximately 45 square meters, with one bedroom, kitchen, bathroom, one electric meter, one water submeter, and two issued keys. Known persons occupying or claiming under the Lessee: The lessee's spouse and one minor child are known occupants; no separate lease or independent claim has been identified.</w:t>
      </w:r>
    </w:p>
    <w:p>
      <w:pPr>
        <w:pStyle w:val="Heading2"/>
        <w:keepNext/>
        <w:spacing w:after="120" w:before="240"/>
      </w:pPr>
      <w:r>
        <w:rPr>
          <w:rFonts w:ascii="Calibri" w:cs="Calibri" w:eastAsia="Calibri" w:hAnsi="Calibri"/>
          <w:b/>
          <w:bCs/>
          <w:color w:val="102B3F"/>
          <w:sz w:val="26"/>
          <w:szCs w:val="26"/>
        </w:rPr>
        <w:t xml:space="preserve">2. Lease and current legal route</w:t>
      </w:r>
    </w:p>
    <w:p>
      <w:pPr>
        <w:keepLines/>
        <w:spacing w:after="120" w:line="264"/>
        <w:jc w:val="both"/>
      </w:pPr>
      <w:r>
        <w:rPr>
          <w:rFonts w:ascii="Calibri" w:cs="Calibri" w:eastAsia="Calibri" w:hAnsi="Calibri"/>
          <w:sz w:val="22"/>
          <w:szCs w:val="22"/>
        </w:rPr>
        <w:t xml:space="preserve">The parties' written lease is identified as Residential Lease Agreement, dated January 1, 2026, commencing January 1, 2026 and ending December 31, 2026. Current monthly base rent is ₱9,000.00, ordinarily due on day 5.</w:t>
      </w:r>
    </w:p>
    <w:p>
      <w:pPr>
        <w:keepLines/>
        <w:spacing w:after="120" w:line="264"/>
        <w:jc w:val="both"/>
      </w:pPr>
      <w:r>
        <w:rPr>
          <w:rFonts w:ascii="Calibri" w:cs="Calibri" w:eastAsia="Calibri" w:hAnsi="Calibri"/>
          <w:sz w:val="22"/>
          <w:szCs w:val="22"/>
        </w:rPr>
        <w:t xml:space="preserve">The Premises is a residential unit renting for ₱9,000.00 a month and is currently covered by the 2025–2026 rent-control issuance: Republic Act No. 9653 and NHSB Resolution No. 2024-01.</w:t>
      </w:r>
    </w:p>
    <w:p>
      <w:pPr>
        <w:keepLines/>
        <w:spacing w:after="120" w:line="264"/>
        <w:jc w:val="both"/>
      </w:pPr>
      <w:r>
        <w:rPr>
          <w:rFonts w:ascii="Calibri" w:cs="Calibri" w:eastAsia="Calibri" w:hAnsi="Calibri"/>
          <w:sz w:val="22"/>
          <w:szCs w:val="22"/>
        </w:rPr>
        <w:t xml:space="preserve">Contractual notice and cure terms: Section 12 requires written notice to the premises and the stated email, allows five calendar days to cure monetary default after actual receipt, and preserves lawful termination and judicial remedies after uncured material default. Recorded prior course of dealing: The January through May 2026 rent was paid on time; no prior extension, waiver, accepted late-payment pattern, or inconsistent demand is shown in the lease ledger or message file.</w:t>
      </w:r>
    </w:p>
    <w:p>
      <w:pPr>
        <w:pStyle w:val="Heading2"/>
        <w:keepNext/>
        <w:spacing w:after="120" w:before="240"/>
      </w:pPr>
      <w:r>
        <w:rPr>
          <w:rFonts w:ascii="Calibri" w:cs="Calibri" w:eastAsia="Calibri" w:hAnsi="Calibri"/>
          <w:b/>
          <w:bCs/>
          <w:color w:val="102B3F"/>
          <w:sz w:val="26"/>
          <w:szCs w:val="26"/>
        </w:rPr>
        <w:t xml:space="preserve">3. Specific grounds and supporting facts</w:t>
      </w:r>
    </w:p>
    <w:p>
      <w:pPr>
        <w:keepLines/>
        <w:spacing w:after="120" w:line="264"/>
        <w:jc w:val="both"/>
      </w:pPr>
      <w:r>
        <w:rPr>
          <w:rFonts w:ascii="Calibri" w:cs="Calibri" w:eastAsia="Calibri" w:hAnsi="Calibri"/>
          <w:sz w:val="22"/>
          <w:szCs w:val="22"/>
        </w:rPr>
        <w:t xml:space="preserve">The good-faith grounds stated in this notice are: nonpayment of rent.</w:t>
      </w:r>
    </w:p>
    <w:p>
      <w:pPr>
        <w:keepLines/>
        <w:spacing w:after="120" w:line="264"/>
        <w:jc w:val="both"/>
      </w:pPr>
      <w:r>
        <w:rPr>
          <w:rFonts w:ascii="Calibri" w:cs="Calibri" w:eastAsia="Calibri" w:hAnsi="Calibri"/>
          <w:sz w:val="22"/>
          <w:szCs w:val="22"/>
        </w:rPr>
        <w:t xml:space="preserve">Rent of PHP 9,000 fell due on 5 June, 5 July, and 5 August 2026. No cleared payment or supported credit for those periods appears in the reconciled ledger through 30 August 2026 despite the identified lease obligation.</w:t>
      </w:r>
    </w:p>
    <w:p>
      <w:pPr>
        <w:keepLines/>
        <w:spacing w:after="120" w:line="264"/>
        <w:jc w:val="both"/>
      </w:pPr>
      <w:r>
        <w:rPr>
          <w:rFonts w:ascii="Calibri" w:cs="Calibri" w:eastAsia="Calibri" w:hAnsi="Calibri"/>
          <w:sz w:val="22"/>
          <w:szCs w:val="22"/>
        </w:rPr>
        <w:t xml:space="preserve">Supporting records: Signed lease RLA-2B-2026; period-by-period rent ledger; January-May receipts; June-August bank records; authenticated messages; title/tax declaration; and the exact notice package retained by the lessor.</w:t>
      </w:r>
    </w:p>
    <w:p>
      <w:pPr>
        <w:pStyle w:val="Heading2"/>
        <w:keepNext/>
        <w:spacing w:after="120" w:before="240"/>
      </w:pPr>
      <w:r>
        <w:rPr>
          <w:rFonts w:ascii="Calibri" w:cs="Calibri" w:eastAsia="Calibri" w:hAnsi="Calibri"/>
          <w:b/>
          <w:bCs/>
          <w:color w:val="102B3F"/>
          <w:sz w:val="26"/>
          <w:szCs w:val="26"/>
        </w:rPr>
        <w:t xml:space="preserve">4. Reconciled account</w:t>
      </w:r>
    </w:p>
    <w:p>
      <w:pPr>
        <w:keepLines/>
        <w:spacing w:after="120" w:line="264"/>
        <w:jc w:val="both"/>
      </w:pPr>
      <w:r>
        <w:rPr>
          <w:rFonts w:ascii="Calibri" w:cs="Calibri" w:eastAsia="Calibri" w:hAnsi="Calibri"/>
          <w:sz w:val="22"/>
          <w:szCs w:val="22"/>
        </w:rPr>
        <w:t xml:space="preserve">The attached period-by-period ledger states base-rent arrears of ₱27,000.00 for 3 month(s), covering June 1, 2026 through August 31, 2026. After payments, credits, and any applied deposit, the unpaid base rent is ₱27,000.00, equal to 3 months' rent and covering 3 due dates. This meets the statutory total of three (3) months of arrears (Republic Act No. 9653, Section 9(b)). June 2026: PHP 9,000 due 5 June, PHP 0 paid, balance PHP 9,000. July: PHP 9,000 due 5 July, PHP 0 paid, cumulative PHP 18,000. August: PHP 9,000 due 5 August, PHP 0 paid, cumulative PHP 27,000.</w:t>
      </w:r>
    </w:p>
    <w:p>
      <w:pPr>
        <w:keepLines/>
        <w:spacing w:after="120" w:line="264"/>
        <w:jc w:val="both"/>
      </w:pPr>
      <w:r>
        <w:rPr>
          <w:rFonts w:ascii="Calibri" w:cs="Calibri" w:eastAsia="Calibri" w:hAnsi="Calibri"/>
          <w:sz w:val="22"/>
          <w:szCs w:val="22"/>
        </w:rPr>
        <w:t xml:space="preserve">Other due utilities/lease charges: ₱0.00. Supported late fees/interest: ₱0.00. Payments and credits: ₱0.00. Deposit already applied on a stated basis: ₱0.00. Gross stated charges are ₱27,000.00; total credits are ₱0.00; the net amount demanded as of the notice date is ₱27,000.00.</w:t>
      </w:r>
    </w:p>
    <w:p>
      <w:pPr>
        <w:keepLines/>
        <w:spacing w:after="120" w:line="264"/>
        <w:jc w:val="both"/>
      </w:pPr>
      <w:r>
        <w:rPr>
          <w:rFonts w:ascii="Calibri" w:cs="Calibri" w:eastAsia="Calibri" w:hAnsi="Calibri"/>
          <w:sz w:val="22"/>
          <w:szCs w:val="22"/>
        </w:rPr>
        <w:t xml:space="preserve">No additional utility or other lease charge is included.</w:t>
      </w:r>
    </w:p>
    <w:p>
      <w:pPr>
        <w:keepLines/>
        <w:spacing w:after="120" w:line="264"/>
        <w:jc w:val="both"/>
      </w:pPr>
      <w:r>
        <w:rPr>
          <w:rFonts w:ascii="Calibri" w:cs="Calibri" w:eastAsia="Calibri" w:hAnsi="Calibri"/>
          <w:sz w:val="22"/>
          <w:szCs w:val="22"/>
        </w:rPr>
        <w:t xml:space="preserve">No late fee or interest is included.</w:t>
      </w:r>
    </w:p>
    <w:p>
      <w:pPr>
        <w:keepLines/>
        <w:spacing w:after="120" w:line="264"/>
        <w:jc w:val="both"/>
      </w:pPr>
      <w:r>
        <w:rPr>
          <w:rFonts w:ascii="Calibri" w:cs="Calibri" w:eastAsia="Calibri" w:hAnsi="Calibri"/>
          <w:sz w:val="22"/>
          <w:szCs w:val="22"/>
        </w:rPr>
        <w:t xml:space="preserve">No separate payment or credit is deducted beyond the attached ledger.</w:t>
      </w:r>
    </w:p>
    <w:p>
      <w:pPr>
        <w:keepLines/>
        <w:spacing w:after="120" w:line="264"/>
        <w:jc w:val="both"/>
      </w:pPr>
      <w:r>
        <w:rPr>
          <w:rFonts w:ascii="Calibri" w:cs="Calibri" w:eastAsia="Calibri" w:hAnsi="Calibri"/>
          <w:sz w:val="22"/>
          <w:szCs w:val="22"/>
        </w:rPr>
        <w:t xml:space="preserve">No security deposit is treated as an automatic payment or deduction in this demand.</w:t>
      </w:r>
    </w:p>
    <w:p>
      <w:pPr>
        <w:keepLines/>
        <w:spacing w:after="120" w:line="264"/>
        <w:jc w:val="both"/>
      </w:pPr>
      <w:r>
        <w:rPr>
          <w:rFonts w:ascii="Calibri" w:cs="Calibri" w:eastAsia="Calibri" w:hAnsi="Calibri"/>
          <w:sz w:val="22"/>
          <w:szCs w:val="22"/>
        </w:rPr>
        <w:t xml:space="preserve">The Lessor reports no prior refusal of a conforming rent tender after checking the known record.</w:t>
      </w:r>
    </w:p>
    <w:p>
      <w:pPr>
        <w:keepLines/>
        <w:spacing w:after="120" w:line="264"/>
        <w:jc w:val="both"/>
      </w:pPr>
      <w:r>
        <w:rPr>
          <w:rFonts w:ascii="Calibri" w:cs="Calibri" w:eastAsia="Calibri" w:hAnsi="Calibri"/>
          <w:sz w:val="22"/>
          <w:szCs w:val="22"/>
        </w:rPr>
        <w:t xml:space="preserve">No specific defense or accounting dispute is presently known; the Lessee may promptly identify one with supporting records.</w:t>
      </w:r>
    </w:p>
    <w:p>
      <w:pPr>
        <w:pStyle w:val="Heading2"/>
        <w:keepNext/>
        <w:spacing w:after="120" w:before="240"/>
      </w:pPr>
      <w:r>
        <w:rPr>
          <w:rFonts w:ascii="Calibri" w:cs="Calibri" w:eastAsia="Calibri" w:hAnsi="Calibri"/>
          <w:b/>
          <w:bCs/>
          <w:color w:val="102B3F"/>
          <w:sz w:val="26"/>
          <w:szCs w:val="26"/>
        </w:rPr>
        <w:t xml:space="preserve">5. Formal twin demand: pay or comply, and vacate if not cured</w:t>
      </w:r>
    </w:p>
    <w:p>
      <w:pPr>
        <w:keepLines/>
        <w:spacing w:after="120" w:line="264"/>
        <w:jc w:val="both"/>
      </w:pPr>
      <w:r>
        <w:rPr>
          <w:rFonts w:ascii="Calibri" w:cs="Calibri" w:eastAsia="Calibri" w:hAnsi="Calibri"/>
          <w:sz w:val="22"/>
          <w:szCs w:val="22"/>
        </w:rPr>
        <w:t xml:space="preserve">The Lessee is formally demanded (1) to pay ₱27,000.00 and fully cure every remediable selected breach no later than September 5, 2026, and (2) if full timely cure does not occur, to vacate and peacefully surrender the premises no later than September 5, 2026. These are the payment/compliance and possession aspects of the demand; lawful cure, waiver, termination, accrual, and filing consequences depend on the lease, actual receipt, and applicable law.</w:t>
      </w:r>
    </w:p>
    <w:p>
      <w:pPr>
        <w:keepLines/>
        <w:spacing w:after="120" w:line="264"/>
        <w:jc w:val="both"/>
      </w:pPr>
      <w:r>
        <w:rPr>
          <w:rFonts w:ascii="Calibri" w:cs="Calibri" w:eastAsia="Calibri" w:hAnsi="Calibri"/>
          <w:sz w:val="22"/>
          <w:szCs w:val="22"/>
        </w:rPr>
        <w:t xml:space="preserve">Payment and receipt route: Payment by verified bank transfer or other cleared method to the account confirmed directly with the Lessor, followed by a written receipt and updated ledger.</w:t>
      </w:r>
    </w:p>
    <w:p>
      <w:pPr>
        <w:keepLines/>
        <w:spacing w:after="120" w:line="264"/>
        <w:jc w:val="both"/>
      </w:pPr>
      <w:r>
        <w:rPr>
          <w:rFonts w:ascii="Calibri" w:cs="Calibri" w:eastAsia="Calibri" w:hAnsi="Calibri"/>
          <w:sz w:val="22"/>
          <w:szCs w:val="22"/>
        </w:rPr>
        <w:t xml:space="preserve">Response and payoff contact: Contact the Lessor through the verified address, email, or telephone stated in this notice for a payoff statement, receipt, or documented dispute. A partial payment is credited to the verified account but does not waive the unpaid balance, possession demand, or another right unless the Lessor expressly agrees in a signed writing.</w:t>
      </w:r>
    </w:p>
    <w:p>
      <w:pPr>
        <w:keepLines/>
        <w:spacing w:after="120" w:line="264"/>
        <w:jc w:val="both"/>
      </w:pPr>
      <w:r>
        <w:rPr>
          <w:rFonts w:ascii="Calibri" w:cs="Calibri" w:eastAsia="Calibri" w:hAnsi="Calibri"/>
          <w:sz w:val="22"/>
          <w:szCs w:val="22"/>
        </w:rPr>
        <w:t xml:space="preserve">Surrender procedure: Schedule a joint final inspection, meter reading, inventory and condition report, removal of personal property, return of every key/access device, and signed turnover receipt.</w:t>
      </w:r>
    </w:p>
    <w:p>
      <w:pPr>
        <w:pStyle w:val="Heading2"/>
        <w:keepNext/>
        <w:spacing w:after="120" w:before="240"/>
      </w:pPr>
      <w:r>
        <w:rPr>
          <w:rFonts w:ascii="Calibri" w:cs="Calibri" w:eastAsia="Calibri" w:hAnsi="Calibri"/>
          <w:b/>
          <w:bCs/>
          <w:color w:val="102B3F"/>
          <w:sz w:val="26"/>
          <w:szCs w:val="26"/>
        </w:rPr>
        <w:t xml:space="preserve">6. Procedure, lawful possession, and reservation</w:t>
      </w:r>
    </w:p>
    <w:p>
      <w:pPr>
        <w:keepLines/>
        <w:spacing w:after="120" w:line="264"/>
        <w:jc w:val="both"/>
      </w:pPr>
      <w:r>
        <w:rPr>
          <w:rFonts w:ascii="Calibri" w:cs="Calibri" w:eastAsia="Calibri" w:hAnsi="Calibri"/>
          <w:sz w:val="22"/>
          <w:szCs w:val="22"/>
        </w:rPr>
        <w:t xml:space="preserve">This notice is not a judgment, writ, sheriff's order, or self-executing eviction. It does not authorize lockout, forcible entry, utility interruption, seizure or disposal of property, intimidation, harassment, or public disclosure. If possession is not voluntarily and lawfully surrendered, recovery must follow the applicable contract, demand, due process, barangay prerequisite where applicable, Rule 70 or other proper judicial action, and implementation by authorized officers.</w:t>
      </w:r>
    </w:p>
    <w:p>
      <w:pPr>
        <w:keepLines/>
        <w:spacing w:after="120" w:line="264"/>
        <w:jc w:val="both"/>
      </w:pPr>
      <w:r>
        <w:rPr>
          <w:rFonts w:ascii="Calibri" w:cs="Calibri" w:eastAsia="Calibri" w:hAnsi="Calibri"/>
          <w:sz w:val="22"/>
          <w:szCs w:val="22"/>
        </w:rPr>
        <w:t xml:space="preserve">The planned first service date is August 31, 2026. Any Rule 70 or contractual waiting period runs from legally effective actual service or another legally controlling event—not merely from the date printed on this notice. Recalculate all filing and limitation dates if service is delayed, defective, refused, repeated, or disputed.</w:t>
      </w:r>
    </w:p>
    <w:p>
      <w:pPr>
        <w:keepLines/>
        <w:spacing w:after="120" w:line="264"/>
        <w:jc w:val="both"/>
      </w:pPr>
      <w:r>
        <w:rPr>
          <w:rFonts w:ascii="Calibri" w:cs="Calibri" w:eastAsia="Calibri" w:hAnsi="Calibri"/>
          <w:sz w:val="22"/>
          <w:szCs w:val="22"/>
        </w:rPr>
        <w:t xml:space="preserve">Subject to law and a properly documented settlement, the Lessor reserves accrued rent, supported charges, damages, possession remedies, and other lawful rights. Acceptance of a partial amount, discussion, inspection, or scheduling does not silently rewrite the notice; any waiver, extension, reinstatement, or settlement must identify its effect in a signed writing.</w:t>
      </w:r>
    </w:p>
    <w:p>
      <w:pPr>
        <w:pStyle w:val="Heading2"/>
        <w:keepNext/>
        <w:spacing w:after="120" w:before="240"/>
      </w:pPr>
      <w:r>
        <w:rPr>
          <w:rFonts w:ascii="Calibri" w:cs="Calibri" w:eastAsia="Calibri" w:hAnsi="Calibri"/>
          <w:b/>
          <w:bCs/>
          <w:color w:val="102B3F"/>
          <w:sz w:val="26"/>
          <w:szCs w:val="26"/>
        </w:rPr>
        <w:t xml:space="preserve">7. Delivery package</w:t>
      </w:r>
    </w:p>
    <w:p>
      <w:pPr>
        <w:keepLines/>
        <w:spacing w:after="120" w:line="264"/>
        <w:jc w:val="both"/>
      </w:pPr>
      <w:r>
        <w:rPr>
          <w:rFonts w:ascii="Calibri" w:cs="Calibri" w:eastAsia="Calibri" w:hAnsi="Calibri"/>
          <w:sz w:val="22"/>
          <w:szCs w:val="22"/>
        </w:rPr>
        <w:t xml:space="preserve">Planned delivery: personal delivery to the lessee with a signed receiving copy; tracked courier with delivery proof; email carrying the exact notice and attachments with transmission evidence. Planned server/provider/witness: Ana M. Cruz, adult witness, together with a tracked courier and the building administrator.</w:t>
      </w:r>
    </w:p>
    <w:p>
      <w:pPr>
        <w:keepLines/>
        <w:spacing w:after="120" w:line="264"/>
        <w:jc w:val="both"/>
      </w:pPr>
      <w:r>
        <w:rPr>
          <w:rFonts w:ascii="Calibri" w:cs="Calibri" w:eastAsia="Calibri" w:hAnsi="Calibri"/>
          <w:sz w:val="22"/>
          <w:szCs w:val="22"/>
        </w:rPr>
        <w:t xml:space="preserve">Attachments: Signed detailed rent ledger, relevant lease clauses, payment instructions, and a duplicate receiving copy of this notice. Language and access: Deliver matching English and Filipino copies in readable print and PDF; preserve hashes and metadata for the exact attachments and allow the recipient to request an accessible replacement copy.</w:t>
      </w:r>
    </w:p>
    <w:p>
      <w:pPr>
        <w:keepLines/>
        <w:spacing w:after="120" w:line="264"/>
        <w:jc w:val="both"/>
      </w:pPr>
      <w:r>
        <w:rPr>
          <w:rFonts w:ascii="Calibri" w:cs="Calibri" w:eastAsia="Calibri" w:hAnsi="Calibri"/>
          <w:sz w:val="22"/>
          <w:szCs w:val="22"/>
        </w:rPr>
        <w:t xml:space="preserve">Complete the service record below only after the event. Preserve the signed original or exact electronic copy, all attachments, envelope or posting photographs, tracking, return receipt, transmission metadata, witness details, and any refusal or response.</w:t>
      </w:r>
    </w:p>
    <w:p>
      <w:pPr>
        <w:keepLines/>
        <w:spacing w:after="120" w:line="264"/>
        <w:jc w:val="both"/>
      </w:pPr>
      <w:r>
        <w:rPr>
          <w:rFonts w:ascii="Calibri" w:cs="Calibri" w:eastAsia="Calibri" w:hAnsi="Calibri"/>
          <w:sz w:val="22"/>
          <w:szCs w:val="22"/>
        </w:rPr>
        <w:t xml:space="preserve">Respectfully,
Maria L. Santos
maria.santos@example.com · +63 917 555 0101</w:t>
      </w:r>
    </w:p>
    <w:p>
      <w:pPr>
        <w:keepNext/>
        <w:spacing w:after="260" w:before="360"/>
      </w:pPr>
      <w:r>
        <w:rPr>
          <w:rFonts w:ascii="Calibri" w:cs="Calibri" w:eastAsia="Calibri" w:hAnsi="Calibri"/>
          <w:b/>
          <w:bCs/>
          <w:sz w:val="22"/>
          <w:szCs w:val="22"/>
        </w:rPr>
        <w:t xml:space="preserve">Signed in a reliable electronic or wet-ink form consistent with the selected service method and recipient requirements.</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LESSOR / AUTHORIZED REPRESENTATIVE</w:t>
            </w:r>
          </w:p>
          <w:p>
            <w:pPr>
              <w:spacing w:after="120"/>
            </w:pPr>
            <w:r>
              <w:rPr>
                <w:rFonts w:ascii="Calibri" w:cs="Calibri" w:eastAsia="Calibri" w:hAnsi="Calibri"/>
                <w:sz w:val="22"/>
                <w:szCs w:val="22"/>
              </w:rPr>
              <w:t xml:space="preserve">Maria L. Santos</w:t>
            </w:r>
          </w:p>
          <w:p>
            <w:pPr>
              <w:spacing w:after="120"/>
            </w:pPr>
            <w:r>
              <w:rPr>
                <w:rFonts w:ascii="Calibri" w:cs="Calibri" w:eastAsia="Calibri" w:hAnsi="Calibri"/>
                <w:sz w:val="22"/>
                <w:szCs w:val="22"/>
              </w:rPr>
              <w:t xml:space="preserve">individual</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
            </w:r>
          </w:p>
          <w:p>
            <w:pPr>
              <w:spacing w:after="120"/>
            </w:pPr>
            <w:r>
              <w:rPr>
                <w:rFonts w:ascii="Calibri" w:cs="Calibri" w:eastAsia="Calibri" w:hAnsi="Calibri"/>
                <w:sz w:val="22"/>
                <w:szCs w:val="22"/>
              </w:rPr>
              <w:t xml:space="preserve"/>
            </w:r>
          </w:p>
          <w:p>
            <w:pPr>
              <w:spacing w:after="120"/>
            </w:pPr>
            <w:r>
              <w:rPr>
                <w:rFonts w:ascii="Calibri" w:cs="Calibri" w:eastAsia="Calibri" w:hAnsi="Calibri"/>
                <w:sz w:val="22"/>
                <w:szCs w:val="22"/>
              </w:rPr>
              <w:t xml:space="preserve"/>
            </w:r>
          </w:p>
          <w:p>
            <w:r>
              <w:rPr>
                <w:rFonts w:ascii="Calibri" w:cs="Calibri" w:eastAsia="Calibri" w:hAnsi="Calibri"/>
                <w:sz w:val="22"/>
                <w:szCs w:val="22"/>
              </w:rPr>
              <w:t xml:space="preserve"/>
            </w:r>
          </w:p>
        </w:tc>
      </w:tr>
    </w:tbl>
    <w:p>
      <w:pPr>
        <w:pStyle w:val="Heading2"/>
        <w:keepNext/>
        <w:spacing w:after="120" w:before="240"/>
      </w:pPr>
      <w:r>
        <w:rPr>
          <w:rFonts w:ascii="Calibri" w:cs="Calibri" w:eastAsia="Calibri" w:hAnsi="Calibri"/>
          <w:b/>
          <w:bCs/>
          <w:color w:val="102B3F"/>
          <w:sz w:val="26"/>
          <w:szCs w:val="26"/>
        </w:rPr>
        <w:t xml:space="preserve">SERVICE RECORD — COMPLETE ONLY AFTER ACTUAL SERVICE</w:t>
      </w:r>
    </w:p>
    <w:p>
      <w:pPr>
        <w:keepLines/>
        <w:spacing w:after="120" w:line="264"/>
        <w:jc w:val="both"/>
      </w:pPr>
      <w:r>
        <w:rPr>
          <w:rFonts w:ascii="Calibri" w:cs="Calibri" w:eastAsia="Calibri" w:hAnsi="Calibri"/>
          <w:sz w:val="22"/>
          <w:szCs w:val="22"/>
        </w:rPr>
        <w:t xml:space="preserve">Actual date and time: ____________________    Place: ____________________</w:t>
      </w:r>
    </w:p>
    <w:p>
      <w:pPr>
        <w:keepLines/>
        <w:spacing w:after="120" w:line="264"/>
        <w:jc w:val="both"/>
      </w:pPr>
      <w:r>
        <w:rPr>
          <w:rFonts w:ascii="Calibri" w:cs="Calibri" w:eastAsia="Calibri" w:hAnsi="Calibri"/>
          <w:sz w:val="22"/>
          <w:szCs w:val="22"/>
        </w:rPr>
        <w:t xml:space="preserve">Exact method used: ____________________    Person served / no person found: ____________________</w:t>
      </w:r>
    </w:p>
    <w:p>
      <w:pPr>
        <w:keepLines/>
        <w:spacing w:after="120" w:line="264"/>
        <w:jc w:val="both"/>
      </w:pPr>
      <w:r>
        <w:rPr>
          <w:rFonts w:ascii="Calibri" w:cs="Calibri" w:eastAsia="Calibri" w:hAnsi="Calibri"/>
          <w:sz w:val="22"/>
          <w:szCs w:val="22"/>
        </w:rPr>
        <w:t xml:space="preserve">Documents and attachments delivered: ____________________</w:t>
      </w:r>
    </w:p>
    <w:p>
      <w:pPr>
        <w:keepLines/>
        <w:spacing w:after="120" w:line="264"/>
        <w:jc w:val="both"/>
      </w:pPr>
      <w:r>
        <w:rPr>
          <w:rFonts w:ascii="Calibri" w:cs="Calibri" w:eastAsia="Calibri" w:hAnsi="Calibri"/>
          <w:sz w:val="22"/>
          <w:szCs w:val="22"/>
        </w:rPr>
        <w:t xml:space="preserve">Recipient response or refusal, stated factually: ____________________</w:t>
      </w:r>
    </w:p>
    <w:p>
      <w:pPr>
        <w:keepLines/>
        <w:spacing w:after="120" w:line="264"/>
        <w:jc w:val="both"/>
      </w:pPr>
      <w:r>
        <w:rPr>
          <w:rFonts w:ascii="Calibri" w:cs="Calibri" w:eastAsia="Calibri" w:hAnsi="Calibri"/>
          <w:sz w:val="22"/>
          <w:szCs w:val="22"/>
        </w:rPr>
        <w:t xml:space="preserve">Tracking / receipt / photograph / email reference: ____________________</w:t>
      </w:r>
    </w:p>
    <w:p>
      <w:pPr>
        <w:keepLines/>
        <w:spacing w:after="120" w:line="264"/>
        <w:jc w:val="both"/>
      </w:pPr>
      <w:r>
        <w:rPr>
          <w:rFonts w:ascii="Calibri" w:cs="Calibri" w:eastAsia="Calibri" w:hAnsi="Calibri"/>
          <w:sz w:val="22"/>
          <w:szCs w:val="22"/>
        </w:rPr>
        <w:t xml:space="preserve">Server's name, address, signature, and witness: ____________________</w:t>
      </w:r>
    </w:p>
    <w:p>
      <w:pPr>
        <w:keepLines/>
        <w:spacing w:after="120" w:line="264"/>
        <w:jc w:val="both"/>
      </w:pPr>
      <w:r>
        <w:rPr>
          <w:rFonts w:ascii="Calibri" w:cs="Calibri" w:eastAsia="Calibri" w:hAnsi="Calibri"/>
          <w:sz w:val="22"/>
          <w:szCs w:val="22"/>
        </w:rPr>
        <w:t xml:space="preserve">This service record is not an affidavit, sheriff's return, or proof of a fact not personally observed. Use a separate sworn instrument only when appropriate and truthful.</w:t>
      </w:r>
    </w:p>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Barangay conciliation: The interview identifies both real parties as individuals actually residing in the same city or municipality. If the dispute falls within lupon authority and no exception applies, complete the correct Katarungang Pambarangay process and obtain the proper certificate before court filing.</w:t>
      </w:r>
    </w:p>
    <w:p>
      <w:pPr>
        <w:pStyle w:val="ListParagraph"/>
        <w:keepNext/>
        <w:numPr>
          <w:ilvl w:val="0"/>
          <w:numId w:val="1"/>
        </w:numPr>
        <w:spacing w:after="120" w:line="264"/>
      </w:pPr>
      <w:r>
        <w:rPr>
          <w:rFonts w:ascii="Calibri" w:cs="Calibri" w:eastAsia="Calibri" w:hAnsi="Calibri"/>
          <w:sz w:val="22"/>
          <w:szCs w:val="22"/>
        </w:rPr>
        <w:t xml:space="preserve">Planning note (not part of the letter): next step barangay first; likely court Metropolitan Trial Court of Quezon City, subject to current branch assignment and filing rules. Coverage facts you recorded: The premises is a residential apartment rented to the same lessee at PHP 9,000 monthly, is not a hotel or motel, and no supported new-unit exclusion is claimed; lease and unit records were checked against NHSB Resolution No. 2024-01.</w:t>
      </w:r>
    </w:p>
    <w:p>
      <w:pPr>
        <w:pStyle w:val="ListParagraph"/>
        <w:keepNext/>
        <w:numPr>
          <w:ilvl w:val="0"/>
          <w:numId w:val="1"/>
        </w:numPr>
        <w:spacing w:after="120" w:line="264"/>
      </w:pPr>
      <w:r>
        <w:rPr>
          <w:rFonts w:ascii="Calibri" w:cs="Calibri" w:eastAsia="Calibri" w:hAnsi="Calibri"/>
          <w:sz w:val="22"/>
          <w:szCs w:val="22"/>
        </w:rPr>
        <w:t xml:space="preserve">Recheck the current lease, amendments, rent receipts, course of dealing, authority, title/administration records, exact names, unit, and occupants immediately before signing.</w:t>
      </w:r>
    </w:p>
    <w:p>
      <w:pPr>
        <w:pStyle w:val="ListParagraph"/>
        <w:keepNext/>
        <w:numPr>
          <w:ilvl w:val="0"/>
          <w:numId w:val="1"/>
        </w:numPr>
        <w:spacing w:after="120" w:line="264"/>
      </w:pPr>
      <w:r>
        <w:rPr>
          <w:rFonts w:ascii="Calibri" w:cs="Calibri" w:eastAsia="Calibri" w:hAnsi="Calibri"/>
          <w:sz w:val="22"/>
          <w:szCs w:val="22"/>
        </w:rPr>
        <w:t xml:space="preserve">Attach a readable period-by-period ledger and the specific lease clauses and evidence actually relied upon; keep unsupported penalties, future rent, double recovery, and automatic deposit assumptions out.</w:t>
      </w:r>
    </w:p>
    <w:p>
      <w:pPr>
        <w:pStyle w:val="ListParagraph"/>
        <w:keepNext/>
        <w:numPr>
          <w:ilvl w:val="0"/>
          <w:numId w:val="1"/>
        </w:numPr>
        <w:spacing w:after="120" w:line="264"/>
      </w:pPr>
      <w:r>
        <w:rPr>
          <w:rFonts w:ascii="Calibri" w:cs="Calibri" w:eastAsia="Calibri" w:hAnsi="Calibri"/>
          <w:sz w:val="22"/>
          <w:szCs w:val="22"/>
        </w:rPr>
        <w:t xml:space="preserve">For a residential unit at PHP 10,000 or below during 2025–2026, reverify NHSB coverage, any new-unit exclusion, the selected statutory ground, three-month arrears where relied on, and special owner/family or repair conditions.</w:t>
      </w:r>
    </w:p>
    <w:p>
      <w:pPr>
        <w:pStyle w:val="ListParagraph"/>
        <w:keepNext/>
        <w:numPr>
          <w:ilvl w:val="0"/>
          <w:numId w:val="1"/>
        </w:numPr>
        <w:spacing w:after="120" w:line="264"/>
      </w:pPr>
      <w:r>
        <w:rPr>
          <w:rFonts w:ascii="Calibri" w:cs="Calibri" w:eastAsia="Calibri" w:hAnsi="Calibri"/>
          <w:sz w:val="22"/>
          <w:szCs w:val="22"/>
        </w:rPr>
        <w:t xml:space="preserve">If rent was tendered or refused, reconcile every tender, receipt, consignation or statutory deposit and notice before asserting nonpayment.</w:t>
      </w:r>
    </w:p>
    <w:p>
      <w:pPr>
        <w:pStyle w:val="ListParagraph"/>
        <w:keepNext/>
        <w:numPr>
          <w:ilvl w:val="0"/>
          <w:numId w:val="1"/>
        </w:numPr>
        <w:spacing w:after="120" w:line="264"/>
      </w:pPr>
      <w:r>
        <w:rPr>
          <w:rFonts w:ascii="Calibri" w:cs="Calibri" w:eastAsia="Calibri" w:hAnsi="Calibri"/>
          <w:sz w:val="22"/>
          <w:szCs w:val="22"/>
        </w:rPr>
        <w:t xml:space="preserve">Calculate contractual and Rule 70 periods from provable actual service. Allow the longer applicable period and recalculate after any delayed, failed, refused, or repeated service.</w:t>
      </w:r>
    </w:p>
    <w:p>
      <w:pPr>
        <w:pStyle w:val="ListParagraph"/>
        <w:keepNext/>
        <w:numPr>
          <w:ilvl w:val="0"/>
          <w:numId w:val="1"/>
        </w:numPr>
        <w:spacing w:after="120" w:line="264"/>
      </w:pPr>
      <w:r>
        <w:rPr>
          <w:rFonts w:ascii="Calibri" w:cs="Calibri" w:eastAsia="Calibri" w:hAnsi="Calibri"/>
          <w:sz w:val="22"/>
          <w:szCs w:val="22"/>
        </w:rPr>
        <w:t xml:space="preserve">Use the contractually required notice address and method plus reliable corroborating channels. Post on the premises only under the current rule after no person is found, and document the predicate and posting.</w:t>
      </w:r>
    </w:p>
    <w:p>
      <w:pPr>
        <w:pStyle w:val="ListParagraph"/>
        <w:keepNext/>
        <w:numPr>
          <w:ilvl w:val="0"/>
          <w:numId w:val="1"/>
        </w:numPr>
        <w:spacing w:after="120" w:line="264"/>
      </w:pPr>
      <w:r>
        <w:rPr>
          <w:rFonts w:ascii="Calibri" w:cs="Calibri" w:eastAsia="Calibri" w:hAnsi="Calibri"/>
          <w:sz w:val="22"/>
          <w:szCs w:val="22"/>
        </w:rPr>
        <w:t xml:space="preserve">Assess the actual-residence, real-party, property-location, exception, venue, and certificate facts for Katarungang Pambarangay before filing.</w:t>
      </w:r>
    </w:p>
    <w:p>
      <w:pPr>
        <w:pStyle w:val="ListParagraph"/>
        <w:keepNext/>
        <w:numPr>
          <w:ilvl w:val="0"/>
          <w:numId w:val="1"/>
        </w:numPr>
        <w:spacing w:after="120" w:line="264"/>
      </w:pPr>
      <w:r>
        <w:rPr>
          <w:rFonts w:ascii="Calibri" w:cs="Calibri" w:eastAsia="Calibri" w:hAnsi="Calibri"/>
          <w:sz w:val="22"/>
          <w:szCs w:val="22"/>
        </w:rPr>
        <w:t xml:space="preserve">Calendar the possible one-year Rule 70 period, prescription, lease deadlines, rent-control expiry, holidays, and all court/service dates; obtain filing-day procedural review.</w:t>
      </w:r>
    </w:p>
    <w:p>
      <w:pPr>
        <w:pStyle w:val="ListParagraph"/>
        <w:keepNext/>
        <w:numPr>
          <w:ilvl w:val="0"/>
          <w:numId w:val="1"/>
        </w:numPr>
        <w:spacing w:after="120" w:line="264"/>
      </w:pPr>
      <w:r>
        <w:rPr>
          <w:rFonts w:ascii="Calibri" w:cs="Calibri" w:eastAsia="Calibri" w:hAnsi="Calibri"/>
          <w:sz w:val="22"/>
          <w:szCs w:val="22"/>
        </w:rPr>
        <w:t xml:space="preserve">Do not change locks, cut utilities, enter forcibly, seize or discard belongings, threaten arrest or violence, contact unrelated persons, or represent this notice as a court order.</w:t>
      </w:r>
    </w:p>
    <w:p>
      <w:pPr>
        <w:pStyle w:val="ListParagraph"/>
        <w:keepNext/>
        <w:numPr>
          <w:ilvl w:val="0"/>
          <w:numId w:val="1"/>
        </w:numPr>
        <w:spacing w:after="120" w:line="264"/>
      </w:pPr>
      <w:r>
        <w:rPr>
          <w:rFonts w:ascii="Calibri" w:cs="Calibri" w:eastAsia="Calibri" w:hAnsi="Calibri"/>
          <w:sz w:val="22"/>
          <w:szCs w:val="22"/>
        </w:rPr>
        <w:t xml:space="preserve">Record any payment, cure, extension, waiver, reinstatement, surrender, inspection, key return, settlement, or refusal in a dated signed document and update the account immediately.</w:t>
      </w:r>
    </w:p>
    <w:p>
      <w:pPr>
        <w:pStyle w:val="ListParagraph"/>
        <w:keepNext w:val="false"/>
        <w:numPr>
          <w:ilvl w:val="0"/>
          <w:numId w:val="1"/>
        </w:numPr>
        <w:spacing w:after="120" w:line="264"/>
      </w:pPr>
      <w:r>
        <w:rPr>
          <w:rFonts w:ascii="Calibri" w:cs="Calibri" w:eastAsia="Calibri" w:hAnsi="Calibri"/>
          <w:sz w:val="22"/>
          <w:szCs w:val="22"/>
        </w:rPr>
        <w:t xml:space="preserve">Have independent Philippine counsel review disputed coverage, oral or holdover leases, refused rent/consignation, owner or family need, condemnation, mixed use, multiple grounds, substantial claims, or imminent filing.</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2026-08-30 through 2026-12-31 | Independent Philippine lawyer review pending | Last legal check 2026-10-01 | Next review due 2026-11-01</w:t>
      </w:r>
    </w:p>
    <w:p>
      <w:pPr>
        <w:keepNext/>
        <w:spacing w:after="60" w:before="100"/>
      </w:pPr>
      <w:r>
        <w:rPr>
          <w:rFonts w:ascii="Calibri" w:cs="Calibri" w:eastAsia="Calibri" w:hAnsi="Calibri"/>
          <w:b/>
          <w:bCs/>
          <w:sz w:val="18"/>
          <w:szCs w:val="18"/>
        </w:rPr>
        <w:t xml:space="preserve">Republic Act No. 386 — Civil Code of the Philippines - Articles 1159, 1169, 1191, 1657–1659, 1670, 1673, 1686, and 1687 on binding lease terms, demand/default, reciprocal remedies, rent and use duties, implied renewal, and judicial ejectment causes (checked 2026-08-30)</w:t>
      </w:r>
    </w:p>
    <w:p>
      <w:pPr>
        <w:spacing w:after="120"/>
      </w:pPr>
      <w:hyperlink w:history="1" r:id="rIdzxufhrt-y_w8xj-xoiold">
        <w:r>
          <w:rPr>
            <w:rFonts w:ascii="Calibri" w:cs="Calibri" w:eastAsia="Calibri" w:hAnsi="Calibri"/>
            <w:color w:val="315B75"/>
            <w:sz w:val="17"/>
            <w:szCs w:val="17"/>
            <w:u w:val="single"/>
          </w:rPr>
          <w:t xml:space="preserve">https://lawphil.net/statutes/repacts/ra1949/ra_386_1949.html</w:t>
        </w:r>
      </w:hyperlink>
    </w:p>
    <w:p>
      <w:pPr>
        <w:keepNext/>
        <w:spacing w:after="60" w:before="100"/>
      </w:pPr>
      <w:r>
        <w:rPr>
          <w:rFonts w:ascii="Calibri" w:cs="Calibri" w:eastAsia="Calibri" w:hAnsi="Calibri"/>
          <w:b/>
          <w:bCs/>
          <w:sz w:val="18"/>
          <w:szCs w:val="18"/>
        </w:rPr>
        <w:t xml:space="preserve">Republic Act No. 9653 — Rent Control Act of 2009 - Sections 3 and 7–12 on covered unit concepts, deposits, unauthorized subletting, specific judicial-ejectment grounds including Sec. 9(b) arrears in payment of rent for a total of three months, consignation, owner/family need, repairs, expiry, and sale/mortgage (checked 2026-10-01)</w:t>
      </w:r>
    </w:p>
    <w:p>
      <w:pPr>
        <w:spacing w:after="120"/>
      </w:pPr>
      <w:hyperlink w:history="1" r:id="rIdp_cg21at0inrcnsrlllfs">
        <w:r>
          <w:rPr>
            <w:rFonts w:ascii="Calibri" w:cs="Calibri" w:eastAsia="Calibri" w:hAnsi="Calibri"/>
            <w:color w:val="315B75"/>
            <w:sz w:val="17"/>
            <w:szCs w:val="17"/>
            <w:u w:val="single"/>
          </w:rPr>
          <w:t xml:space="preserve">https://lawphil.net/statutes/repacts/ra2009/ra_9653_2009.html</w:t>
        </w:r>
      </w:hyperlink>
    </w:p>
    <w:p>
      <w:pPr>
        <w:keepNext/>
        <w:spacing w:after="60" w:before="100"/>
      </w:pPr>
      <w:r>
        <w:rPr>
          <w:rFonts w:ascii="Calibri" w:cs="Calibri" w:eastAsia="Calibri" w:hAnsi="Calibri"/>
          <w:b/>
          <w:bCs/>
          <w:sz w:val="18"/>
          <w:szCs w:val="18"/>
        </w:rPr>
        <w:t xml:space="preserve">National Human Settlements Board Resolution No. 2024-01 (certified copy filed with ONAR) - Current rent regulation through 31 December 2026 for qualifying residential units at PHP 10,000 monthly rent or below, same-lessee increase limits, vacancy rule, and new-unit exclusion (checked 2026-10-01)</w:t>
      </w:r>
    </w:p>
    <w:p>
      <w:pPr>
        <w:spacing w:after="120"/>
      </w:pPr>
      <w:hyperlink w:history="1" r:id="rId4cq3nab22cbr5oigziqsf">
        <w:r>
          <w:rPr>
            <w:rFonts w:ascii="Calibri" w:cs="Calibri" w:eastAsia="Calibri" w:hAnsi="Calibri"/>
            <w:color w:val="315B75"/>
            <w:sz w:val="17"/>
            <w:szCs w:val="17"/>
            <w:u w:val="single"/>
          </w:rPr>
          <w:t xml:space="preserve">https://naro.law.upd.edu.ph/issuances/4495</w:t>
        </w:r>
      </w:hyperlink>
    </w:p>
    <w:p>
      <w:pPr>
        <w:keepNext/>
        <w:spacing w:after="60" w:before="100"/>
      </w:pPr>
      <w:r>
        <w:rPr>
          <w:rFonts w:ascii="Calibri" w:cs="Calibri" w:eastAsia="Calibri" w:hAnsi="Calibri"/>
          <w:b/>
          <w:bCs/>
          <w:sz w:val="18"/>
          <w:szCs w:val="18"/>
        </w:rPr>
        <w:t xml:space="preserve">Rules of Court — Rule 70 (Forcible Entry and Unlawful Detainer) - Section 2: action only after demand to pay or comply with the conditions of the lease and to vacate, served on the lessee or posted on the premises if no person is found, and failure to comply after fifteen days for land or five days for buildings; one-year filing framework (checked 2026-10-01)</w:t>
      </w:r>
    </w:p>
    <w:p>
      <w:pPr>
        <w:spacing w:after="120"/>
      </w:pPr>
      <w:hyperlink w:history="1" r:id="rIdd-jykdnqedyfcrmq3mr_q">
        <w:r>
          <w:rPr>
            <w:rFonts w:ascii="Calibri" w:cs="Calibri" w:eastAsia="Calibri" w:hAnsi="Calibri"/>
            <w:color w:val="315B75"/>
            <w:sz w:val="17"/>
            <w:szCs w:val="17"/>
            <w:u w:val="single"/>
          </w:rPr>
          <w:t xml:space="preserve">https://lawphil.net/courts/rules/rc_1-71_civil.html</w:t>
        </w:r>
      </w:hyperlink>
    </w:p>
    <w:p>
      <w:pPr>
        <w:keepNext/>
        <w:spacing w:after="60" w:before="100"/>
      </w:pPr>
      <w:r>
        <w:rPr>
          <w:rFonts w:ascii="Calibri" w:cs="Calibri" w:eastAsia="Calibri" w:hAnsi="Calibri"/>
          <w:b/>
          <w:bCs/>
          <w:sz w:val="18"/>
          <w:szCs w:val="18"/>
        </w:rPr>
        <w:t xml:space="preserve">Rules on Expedited Procedures in the First Level Courts - Current summary-procedure treatment of forcible-entry and unlawful-detainer cases in first-level courts (checked 2026-08-30)</w:t>
      </w:r>
    </w:p>
    <w:p>
      <w:pPr>
        <w:spacing w:after="120"/>
      </w:pPr>
      <w:hyperlink w:history="1" r:id="rIdpfbciuimcu0hx27ldpbdo">
        <w:r>
          <w:rPr>
            <w:rFonts w:ascii="Calibri" w:cs="Calibri" w:eastAsia="Calibri" w:hAnsi="Calibri"/>
            <w:color w:val="315B75"/>
            <w:sz w:val="17"/>
            <w:szCs w:val="17"/>
            <w:u w:val="single"/>
          </w:rPr>
          <w:t xml:space="preserve">https://sc.judiciary.gov.ph/rules-on-expedited-procedures-in-the-first-level-courts/</w:t>
        </w:r>
      </w:hyperlink>
    </w:p>
    <w:p>
      <w:pPr>
        <w:keepNext/>
        <w:spacing w:after="60" w:before="100"/>
      </w:pPr>
      <w:r>
        <w:rPr>
          <w:rFonts w:ascii="Calibri" w:cs="Calibri" w:eastAsia="Calibri" w:hAnsi="Calibri"/>
          <w:b/>
          <w:bCs/>
          <w:sz w:val="18"/>
          <w:szCs w:val="18"/>
        </w:rPr>
        <w:t xml:space="preserve">Republic Act No. 7160 — Local Government Code - Sections 408–412 on lupon authority, actual-residence and real-property venue rules, exceptions, and conciliation as a pre-filing condition (checked 2026-08-30)</w:t>
      </w:r>
    </w:p>
    <w:p>
      <w:pPr>
        <w:spacing w:after="120"/>
      </w:pPr>
      <w:hyperlink w:history="1" r:id="rIdaiomirqaw7dnx3zlyqxoy">
        <w:r>
          <w:rPr>
            <w:rFonts w:ascii="Calibri" w:cs="Calibri" w:eastAsia="Calibri" w:hAnsi="Calibri"/>
            <w:color w:val="315B75"/>
            <w:sz w:val="17"/>
            <w:szCs w:val="17"/>
            <w:u w:val="single"/>
          </w:rPr>
          <w:t xml:space="preserve">https://lawphil.net/statutes/repacts/ra1991/ra_7160_1991.html</w:t>
        </w:r>
      </w:hyperlink>
    </w:p>
    <w:p>
      <w:pPr>
        <w:keepNext/>
        <w:spacing w:after="60" w:before="100"/>
      </w:pPr>
      <w:r>
        <w:rPr>
          <w:rFonts w:ascii="Calibri" w:cs="Calibri" w:eastAsia="Calibri" w:hAnsi="Calibri"/>
          <w:b/>
          <w:bCs/>
          <w:sz w:val="18"/>
          <w:szCs w:val="18"/>
        </w:rPr>
        <w:t xml:space="preserve">Republic Act No. 8792 — Electronic Commerce Act - Electronic data messages, documents, and signatures, subject to proof and any contractually or legally required mode (checked 2026-08-30)</w:t>
      </w:r>
    </w:p>
    <w:p>
      <w:pPr>
        <w:spacing w:after="120"/>
      </w:pPr>
      <w:hyperlink w:history="1" r:id="rId21bkrqpwpqwvhukcqmslq">
        <w:r>
          <w:rPr>
            <w:rFonts w:ascii="Calibri" w:cs="Calibri" w:eastAsia="Calibri" w:hAnsi="Calibri"/>
            <w:color w:val="315B75"/>
            <w:sz w:val="17"/>
            <w:szCs w:val="17"/>
            <w:u w:val="single"/>
          </w:rPr>
          <w:t xml:space="preserve">https://lawphil.net/statutes/repacts/ra2000/ra_8792_2000.html</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xufhrt-y_w8xj-xoiold" Type="http://schemas.openxmlformats.org/officeDocument/2006/relationships/hyperlink" Target="https://lawphil.net/statutes/repacts/ra1949/ra_386_1949.html" TargetMode="External"/><Relationship Id="rIdp_cg21at0inrcnsrlllfs" Type="http://schemas.openxmlformats.org/officeDocument/2006/relationships/hyperlink" Target="https://lawphil.net/statutes/repacts/ra2009/ra_9653_2009.html" TargetMode="External"/><Relationship Id="rId4cq3nab22cbr5oigziqsf" Type="http://schemas.openxmlformats.org/officeDocument/2006/relationships/hyperlink" Target="https://naro.law.upd.edu.ph/issuances/4495" TargetMode="External"/><Relationship Id="rIdd-jykdnqedyfcrmq3mr_q" Type="http://schemas.openxmlformats.org/officeDocument/2006/relationships/hyperlink" Target="https://lawphil.net/courts/rules/rc_1-71_civil.html" TargetMode="External"/><Relationship Id="rIdpfbciuimcu0hx27ldpbdo" Type="http://schemas.openxmlformats.org/officeDocument/2006/relationships/hyperlink" Target="https://sc.judiciary.gov.ph/rules-on-expedited-procedures-in-the-first-level-courts/" TargetMode="External"/><Relationship Id="rIdaiomirqaw7dnx3zlyqxoy" Type="http://schemas.openxmlformats.org/officeDocument/2006/relationships/hyperlink" Target="https://lawphil.net/statutes/repacts/ra1991/ra_7160_1991.html" TargetMode="External"/><Relationship Id="rId21bkrqpwpqwvhukcqmslq" Type="http://schemas.openxmlformats.org/officeDocument/2006/relationships/hyperlink" Target="https://lawphil.net/statutes/repacts/ra2000/ra_8792_2000.html"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FORMAL DEMAND TO PAY OR COMPLY AND TO VACATE</dc:title>
  <dc:creator>LAW.PH</dc:creator>
  <dc:description>Free sample of the Rent Demand and Cure Notice from LAW.PH, with fictional details</dc:description>
  <cp:lastModifiedBy>Un-named</cp:lastModifiedBy>
  <cp:revision>1</cp:revision>
  <dcterms:created xsi:type="dcterms:W3CDTF">2026-10-02T05:29:57.067Z</dcterms:created>
  <dcterms:modified xsi:type="dcterms:W3CDTF">2026-10-02T05:29:57.067Z</dcterms:modified>
</cp:coreProperties>
</file>

<file path=docProps/custom.xml><?xml version="1.0" encoding="utf-8"?>
<Properties xmlns="http://schemas.openxmlformats.org/officeDocument/2006/custom-properties" xmlns:vt="http://schemas.openxmlformats.org/officeDocument/2006/docPropsVTypes"/>
</file>