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NOTICE TO EXPLAIN</w:t>
      </w:r>
    </w:p>
    <w:p>
      <w:pPr>
        <w:spacing w:after="160"/>
        <w:jc w:val="center"/>
      </w:pPr>
      <w:r>
        <w:rPr>
          <w:rFonts w:ascii="Calibri" w:cs="Calibri" w:eastAsia="Calibri" w:hAnsi="Calibri"/>
          <w:color w:val="566674"/>
          <w:sz w:val="18"/>
          <w:szCs w:val="18"/>
        </w:rPr>
        <w:t xml:space="preserve">Republic of the Philippines · termination possible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labor-lawyer review pending</w:t>
      </w:r>
    </w:p>
    <w:p>
      <w:pPr>
        <w:keepLines/>
        <w:spacing w:after="120" w:line="264"/>
        <w:jc w:val="both"/>
      </w:pPr>
      <w:r>
        <w:rPr>
          <w:rFonts w:ascii="Calibri" w:cs="Calibri" w:eastAsia="Calibri" w:hAnsi="Calibri"/>
          <w:sz w:val="22"/>
          <w:szCs w:val="22"/>
        </w:rPr>
        <w:t xml:space="preserve">PRIVATE AND CONFIDENTIAL</w:t>
      </w:r>
    </w:p>
    <w:p>
      <w:pPr>
        <w:keepLines/>
        <w:spacing w:after="120" w:line="264"/>
        <w:jc w:val="both"/>
      </w:pPr>
      <w:r>
        <w:rPr>
          <w:rFonts w:ascii="Calibri" w:cs="Calibri" w:eastAsia="Calibri" w:hAnsi="Calibri"/>
          <w:sz w:val="22"/>
          <w:szCs w:val="22"/>
        </w:rPr>
        <w:t xml:space="preserve">Date: August 30, 2026</w:t>
      </w:r>
    </w:p>
    <w:p>
      <w:pPr>
        <w:keepLines/>
        <w:spacing w:after="120" w:line="264"/>
        <w:jc w:val="both"/>
      </w:pPr>
      <w:r>
        <w:rPr>
          <w:rFonts w:ascii="Calibri" w:cs="Calibri" w:eastAsia="Calibri" w:hAnsi="Calibri"/>
          <w:sz w:val="22"/>
          <w:szCs w:val="22"/>
        </w:rPr>
        <w:t xml:space="preserve">TO: Juan Miguel Santos · Employee no. EMP-1042</w:t>
      </w:r>
    </w:p>
    <w:p>
      <w:pPr>
        <w:keepLines/>
        <w:spacing w:after="120" w:line="264"/>
        <w:jc w:val="both"/>
      </w:pPr>
      <w:r>
        <w:rPr>
          <w:rFonts w:ascii="Calibri" w:cs="Calibri" w:eastAsia="Calibri" w:hAnsi="Calibri"/>
          <w:sz w:val="22"/>
          <w:szCs w:val="22"/>
        </w:rPr>
        <w:t xml:space="preserve">Position/Department: Store Cashier · Retail Operations</w:t>
      </w:r>
    </w:p>
    <w:p>
      <w:pPr>
        <w:keepLines/>
        <w:spacing w:after="120" w:line="264"/>
        <w:jc w:val="both"/>
      </w:pPr>
      <w:r>
        <w:rPr>
          <w:rFonts w:ascii="Calibri" w:cs="Calibri" w:eastAsia="Calibri" w:hAnsi="Calibri"/>
          <w:sz w:val="22"/>
          <w:szCs w:val="22"/>
        </w:rPr>
        <w:t xml:space="preserve">Work location: Makati Central Store</w:t>
      </w:r>
    </w:p>
    <w:p>
      <w:pPr>
        <w:keepLines/>
        <w:spacing w:after="120" w:line="264"/>
        <w:jc w:val="both"/>
      </w:pPr>
      <w:r>
        <w:rPr>
          <w:rFonts w:ascii="Calibri" w:cs="Calibri" w:eastAsia="Calibri" w:hAnsi="Calibri"/>
          <w:sz w:val="22"/>
          <w:szCs w:val="22"/>
        </w:rPr>
        <w:t xml:space="preserve">FROM: Bayanihan Retail Corporation · Andrea Reyes, Human Resources Manager</w:t>
      </w:r>
    </w:p>
    <w:p>
      <w:pPr>
        <w:keepLines/>
        <w:spacing w:after="120" w:line="264"/>
        <w:jc w:val="both"/>
      </w:pPr>
      <w:r>
        <w:rPr>
          <w:rFonts w:ascii="Calibri" w:cs="Calibri" w:eastAsia="Calibri" w:hAnsi="Calibri"/>
          <w:sz w:val="22"/>
          <w:szCs w:val="22"/>
        </w:rPr>
        <w:t xml:space="preserve">SUBJECT: NOTICE TO EXPLAIN — UNRECONCILED CUSTOMER COLLECTION ON 22 AUGUST 2026</w:t>
      </w:r>
    </w:p>
    <w:p>
      <w:pPr>
        <w:pStyle w:val="Heading2"/>
        <w:keepNext/>
        <w:spacing w:after="120" w:before="240"/>
      </w:pPr>
      <w:r>
        <w:rPr>
          <w:rFonts w:ascii="Calibri" w:cs="Calibri" w:eastAsia="Calibri" w:hAnsi="Calibri"/>
          <w:b/>
          <w:bCs/>
          <w:color w:val="102B3F"/>
          <w:sz w:val="26"/>
          <w:szCs w:val="26"/>
        </w:rPr>
        <w:t xml:space="preserve">PURPOSE AND PRESENT STATUS</w:t>
      </w:r>
    </w:p>
    <w:p>
      <w:pPr>
        <w:keepLines/>
        <w:spacing w:after="120" w:line="264"/>
        <w:jc w:val="both"/>
      </w:pPr>
      <w:r>
        <w:rPr>
          <w:rFonts w:ascii="Calibri" w:cs="Calibri" w:eastAsia="Calibri" w:hAnsi="Calibri"/>
          <w:sz w:val="22"/>
          <w:szCs w:val="22"/>
        </w:rPr>
        <w:t xml:space="preserve">This is the first written notice in an administrative process concerning the allegations below and the possible imposition of disciplinary action up to and including termination of employment. It directs you to explain your side and submit supporting evidence. It is not a finding of guilt, a final disciplinary decision, or a waiver of any right.</w:t>
      </w:r>
    </w:p>
    <w:p>
      <w:pPr>
        <w:keepLines/>
        <w:spacing w:after="120" w:line="264"/>
        <w:jc w:val="both"/>
      </w:pPr>
      <w:r>
        <w:rPr>
          <w:rFonts w:ascii="Calibri" w:cs="Calibri" w:eastAsia="Calibri" w:hAnsi="Calibri"/>
          <w:sz w:val="22"/>
          <w:szCs w:val="22"/>
        </w:rPr>
        <w:t xml:space="preserve">Bayanihan Retail Corporation has not predetermined the facts, legal ground, or penalty. The complete explanation, evidence, material contrary facts, applicable policy and CBA, and any required conference will be genuinely considered by Employee Relations Review Panel excluding the complainant and initial fact investigator before any decision. The employer retains the burden to establish a lawful and proportionate basis for any discipline.</w:t>
      </w:r>
    </w:p>
    <w:p>
      <w:pPr>
        <w:keepLines/>
        <w:spacing w:after="120" w:line="264"/>
        <w:jc w:val="both"/>
      </w:pPr>
      <w:r>
        <w:rPr>
          <w:rFonts w:ascii="Calibri" w:cs="Calibri" w:eastAsia="Calibri" w:hAnsi="Calibri"/>
          <w:sz w:val="22"/>
          <w:szCs w:val="22"/>
        </w:rPr>
        <w:t xml:space="preserve">The employer records that the employee can understand this complete English notice. Employment status recorded for routing: regular; hire/engagement date: April 3, 2023. This label does not reduce any statutory right or decide a disputed employment classification.</w:t>
      </w:r>
    </w:p>
    <w:p>
      <w:pPr>
        <w:pStyle w:val="Heading2"/>
        <w:keepNext/>
        <w:spacing w:after="120" w:before="240"/>
      </w:pPr>
      <w:r>
        <w:rPr>
          <w:rFonts w:ascii="Calibri" w:cs="Calibri" w:eastAsia="Calibri" w:hAnsi="Calibri"/>
          <w:b/>
          <w:bCs/>
          <w:color w:val="102B3F"/>
          <w:sz w:val="26"/>
          <w:szCs w:val="26"/>
        </w:rPr>
        <w:t xml:space="preserve">PROVISIONAL GROUNDS UNDER CONSIDERATION</w:t>
      </w:r>
    </w:p>
    <w:p>
      <w:pPr>
        <w:keepLines/>
        <w:spacing w:after="120" w:line="264"/>
        <w:jc w:val="both"/>
      </w:pPr>
      <w:r>
        <w:rPr>
          <w:rFonts w:ascii="Calibri" w:cs="Calibri" w:eastAsia="Calibri" w:hAnsi="Calibri"/>
          <w:sz w:val="22"/>
          <w:szCs w:val="22"/>
        </w:rPr>
        <w:t xml:space="preserve">Subject to your explanation and the complete record, the provisional grounds are: serious misconduct under Article 297(a) [formerly 282(a)] of the Labor Code, as renumbered, subject to proof of serious work-related misconduct and wrongful intent rather than mere error in judgment. These legal and policy labels are allegations only. Each required element, work connection, gravity, intent, proportionality, and evidentiary basis must be independently established before it may support discipline.</w:t>
      </w:r>
    </w:p>
    <w:p>
      <w:pPr>
        <w:keepLines/>
        <w:spacing w:after="120" w:line="264"/>
        <w:jc w:val="both"/>
      </w:pPr>
      <w:r>
        <w:rPr>
          <w:rFonts w:ascii="Calibri" w:cs="Calibri" w:eastAsia="Calibri" w:hAnsi="Calibri"/>
          <w:sz w:val="22"/>
          <w:szCs w:val="22"/>
        </w:rPr>
        <w:t xml:space="preserve">Company rule, policy, duty, or standard cited: Cash Handling Policy CHP-04, sections 3.2, 4.1, and 6.3, version effective 1 January 2026. The employer records that this material was communicated or made reasonably available before the alleged conduct; attach or provide secure access to the exact version relied upon.</w:t>
      </w:r>
    </w:p>
    <w:p>
      <w:pPr>
        <w:pStyle w:val="Heading2"/>
        <w:keepNext/>
        <w:spacing w:after="120" w:before="240"/>
      </w:pPr>
      <w:r>
        <w:rPr>
          <w:rFonts w:ascii="Calibri" w:cs="Calibri" w:eastAsia="Calibri" w:hAnsi="Calibri"/>
          <w:b/>
          <w:bCs/>
          <w:color w:val="102B3F"/>
          <w:sz w:val="26"/>
          <w:szCs w:val="26"/>
        </w:rPr>
        <w:t xml:space="preserve">DETAILED FACTUAL ALLEGATIONS</w:t>
      </w:r>
    </w:p>
    <w:p>
      <w:pPr>
        <w:keepLines/>
        <w:spacing w:after="120" w:line="264"/>
        <w:jc w:val="both"/>
      </w:pPr>
      <w:r>
        <w:rPr>
          <w:rFonts w:ascii="Calibri" w:cs="Calibri" w:eastAsia="Calibri" w:hAnsi="Calibri"/>
          <w:sz w:val="22"/>
          <w:szCs w:val="22"/>
        </w:rPr>
        <w:t xml:space="preserve">Incident pattern: single incident. Alleged period: August 22, 2026 through August 22, 2026. Time or sequence: Between 6:10 PM and 6:35 PM during the closing shift. Place, system, account, route, or location: Cash register 04 and the Makati Central Store cash office.</w:t>
      </w:r>
    </w:p>
    <w:p>
      <w:pPr>
        <w:keepLines/>
        <w:spacing w:after="120" w:line="264"/>
        <w:jc w:val="both"/>
      </w:pPr>
      <w:r>
        <w:rPr>
          <w:rFonts w:ascii="Calibri" w:cs="Calibri" w:eastAsia="Calibri" w:hAnsi="Calibri"/>
          <w:sz w:val="22"/>
          <w:szCs w:val="22"/>
        </w:rPr>
        <w:t xml:space="preserve">Detailed chronology: At approximately 6:10 PM, transaction TX-8821 recorded a PHP 12,500 cash payment at register 04 under the employee's assigned credentials. The closing count prepared at 6:35 PM showed PHP 12,500 less cash than the system total. CCTV and the turnover sheet presently show the cash drawer and deposit envelope being handled before the shortage was reported. The investigation has not yet determined the explanation for the variance.</w:t>
      </w:r>
    </w:p>
    <w:p>
      <w:pPr>
        <w:keepLines/>
        <w:spacing w:after="120" w:line="264"/>
        <w:jc w:val="both"/>
      </w:pPr>
      <w:r>
        <w:rPr>
          <w:rFonts w:ascii="Calibri" w:cs="Calibri" w:eastAsia="Calibri" w:hAnsi="Calibri"/>
          <w:sz w:val="22"/>
          <w:szCs w:val="22"/>
        </w:rPr>
        <w:t xml:space="preserve">Applicable duty, standard, procedure, or order and prior communication: Cashiers must count collections with the closing supervisor, seal the deposit envelope, sign the turnover sheet, and report a variance immediately under Cash Handling Policy CHP-04 supplied during onboarding and annual refresher training.</w:t>
      </w:r>
    </w:p>
    <w:p>
      <w:pPr>
        <w:keepLines/>
        <w:spacing w:after="120" w:line="264"/>
        <w:jc w:val="both"/>
      </w:pPr>
      <w:r>
        <w:rPr>
          <w:rFonts w:ascii="Calibri" w:cs="Calibri" w:eastAsia="Calibri" w:hAnsi="Calibri"/>
          <w:sz w:val="22"/>
          <w:szCs w:val="22"/>
        </w:rPr>
        <w:t xml:space="preserve">Material persons, transactions, property, systems, and records: Closing supervisor Elena Cruz, transaction TX-8821, register 04 log, CCTV segment, cash-count sheet, and deposit envelope record</w:t>
      </w:r>
    </w:p>
    <w:p>
      <w:pPr>
        <w:keepLines/>
        <w:spacing w:after="120" w:line="264"/>
        <w:jc w:val="both"/>
      </w:pPr>
      <w:r>
        <w:rPr>
          <w:rFonts w:ascii="Calibri" w:cs="Calibri" w:eastAsia="Calibri" w:hAnsi="Calibri"/>
          <w:sz w:val="22"/>
          <w:szCs w:val="22"/>
        </w:rPr>
        <w:t xml:space="preserve">Alleged work-related impact or risk: An unreconciled PHP 12,500 collection and a potential breakdown in the store's cash-control and turnover process</w:t>
      </w:r>
    </w:p>
    <w:p>
      <w:pPr>
        <w:keepLines/>
        <w:spacing w:after="120" w:line="264"/>
        <w:jc w:val="both"/>
      </w:pPr>
      <w:r>
        <w:rPr>
          <w:rFonts w:ascii="Calibri" w:cs="Calibri" w:eastAsia="Calibri" w:hAnsi="Calibri"/>
          <w:sz w:val="22"/>
          <w:szCs w:val="22"/>
        </w:rPr>
        <w:t xml:space="preserve">Known context, contrary information, and limitations: The transaction log confirms receipt but does not by itself show who retained the cash; the CCTV angle does not continuously show the inside of the envelope. You are invited to correct any date, identity, sequence, attribution, policy, calculation, context, or factual assumption and to identify other material records or witnesses.</w:t>
      </w:r>
    </w:p>
    <w:p>
      <w:pPr>
        <w:pStyle w:val="Heading2"/>
        <w:keepNext/>
        <w:spacing w:after="120" w:before="240"/>
      </w:pPr>
      <w:r>
        <w:rPr>
          <w:rFonts w:ascii="Calibri" w:cs="Calibri" w:eastAsia="Calibri" w:hAnsi="Calibri"/>
          <w:b/>
          <w:bCs/>
          <w:color w:val="102B3F"/>
          <w:sz w:val="26"/>
          <w:szCs w:val="26"/>
        </w:rPr>
        <w:t xml:space="preserve">RECORDS PRESENTLY RELIED UPON</w:t>
      </w:r>
    </w:p>
    <w:p>
      <w:pPr>
        <w:keepLines/>
        <w:spacing w:after="120" w:line="264"/>
        <w:jc w:val="both"/>
      </w:pPr>
      <w:r>
        <w:rPr>
          <w:rFonts w:ascii="Calibri" w:cs="Calibri" w:eastAsia="Calibri" w:hAnsi="Calibri"/>
          <w:sz w:val="22"/>
          <w:szCs w:val="22"/>
        </w:rPr>
        <w:t xml:space="preserve">Evidence categories reviewed: documents or correspondence, system or transaction records, video or images, and audit or reconciliation. Evidence summary: The register log records transaction TX-8821 and the closing reconciliation shows a matching PHP 12,500 variance. The signed turnover sheet, deposit record, and CCTV segment identify the sequence presently under review, but the camera does not continuously show the envelope contents.</w:t>
      </w:r>
    </w:p>
    <w:p>
      <w:pPr>
        <w:keepLines/>
        <w:spacing w:after="120" w:line="264"/>
        <w:jc w:val="both"/>
      </w:pPr>
      <w:r>
        <w:rPr>
          <w:rFonts w:ascii="Calibri" w:cs="Calibri" w:eastAsia="Calibri" w:hAnsi="Calibri"/>
          <w:sz w:val="22"/>
          <w:szCs w:val="22"/>
        </w:rPr>
        <w:t xml:space="preserve">Attachments and access: Attached are the policy, transaction extract, reconciliation, turnover sheet, and still-image index; HR will arrange secure viewing of the full CCTV segment on request. You may request reasonably necessary material records for your defense through the contact below. Access may be securely redacted or supervised only to protect unrelated personal data, privilege, security, or a legitimate investigation need without defeating a meaningful defense.</w:t>
      </w:r>
    </w:p>
    <w:p>
      <w:pPr>
        <w:keepLines/>
        <w:spacing w:after="120" w:line="264"/>
        <w:jc w:val="both"/>
      </w:pPr>
      <w:r>
        <w:rPr>
          <w:rFonts w:ascii="Calibri" w:cs="Calibri" w:eastAsia="Calibri" w:hAnsi="Calibri"/>
          <w:sz w:val="22"/>
          <w:szCs w:val="22"/>
        </w:rPr>
        <w:t xml:space="preserve">No prior disciplinary record is stated as a basis for this charge or possible penalty in this notice.</w:t>
      </w:r>
    </w:p>
    <w:p>
      <w:pPr>
        <w:keepLines/>
        <w:spacing w:after="120" w:line="264"/>
        <w:jc w:val="both"/>
      </w:pPr>
      <w:r>
        <w:rPr>
          <w:rFonts w:ascii="Calibri" w:cs="Calibri" w:eastAsia="Calibri" w:hAnsi="Calibri"/>
          <w:sz w:val="22"/>
          <w:szCs w:val="22"/>
        </w:rPr>
        <w:t xml:space="preserve">The employer will preserve source records, material contrary information, and the exact evidence considered. A summary, attachment, screenshot, witness account, system log, or audit result remains subject to authentication, context, reliability, and your response.</w:t>
      </w:r>
    </w:p>
    <w:p>
      <w:pPr>
        <w:pStyle w:val="Heading2"/>
        <w:keepNext/>
        <w:spacing w:after="120" w:before="240"/>
      </w:pPr>
      <w:r>
        <w:rPr>
          <w:rFonts w:ascii="Calibri" w:cs="Calibri" w:eastAsia="Calibri" w:hAnsi="Calibri"/>
          <w:b/>
          <w:bCs/>
          <w:color w:val="102B3F"/>
          <w:sz w:val="26"/>
          <w:szCs w:val="26"/>
        </w:rPr>
        <w:t xml:space="preserve">WRITTEN EXPLANATION AND DEFENSE</w:t>
      </w:r>
    </w:p>
    <w:p>
      <w:pPr>
        <w:keepLines/>
        <w:spacing w:after="120" w:line="264"/>
        <w:jc w:val="both"/>
      </w:pPr>
      <w:r>
        <w:rPr>
          <w:rFonts w:ascii="Calibri" w:cs="Calibri" w:eastAsia="Calibri" w:hAnsi="Calibri"/>
          <w:sz w:val="22"/>
          <w:szCs w:val="22"/>
        </w:rPr>
        <w:t xml:space="preserve">Submit your complete signed written explanation no later than September 4, 2026, but never earlier than the end of five full calendar days from your actual receipt of this Notice. If actual receipt occurs later than planned, the deadline automatically moves to preserve at least five calendar days unless you knowingly request an earlier submission without surrendering your opportunity to supplement it.</w:t>
      </w:r>
    </w:p>
    <w:p>
      <w:pPr>
        <w:keepLines/>
        <w:spacing w:after="120" w:line="264"/>
        <w:jc w:val="both"/>
      </w:pPr>
      <w:r>
        <w:rPr>
          <w:rFonts w:ascii="Calibri" w:cs="Calibri" w:eastAsia="Calibri" w:hAnsi="Calibri"/>
          <w:sz w:val="22"/>
          <w:szCs w:val="22"/>
        </w:rPr>
        <w:t xml:space="preserve">You may respond by company email and hand delivery to Email er@bayanihan.example or deliver a sealed response to HR Employee Relations at the employer address. Address process questions to HR Employee Relations, er@bayanihan.example, +63 2 8123 4567. Your response may admit, deny, qualify, or explain each allegation; correct the chronology; identify defenses, context, witnesses, records, policy interpretation, inconsistent treatment, mitigating facts, and requested accommodations; and attach supporting evidence.</w:t>
      </w:r>
    </w:p>
    <w:p>
      <w:pPr>
        <w:keepLines/>
        <w:spacing w:after="120" w:line="264"/>
        <w:jc w:val="both"/>
      </w:pPr>
      <w:r>
        <w:rPr>
          <w:rFonts w:ascii="Calibri" w:cs="Calibri" w:eastAsia="Calibri" w:hAnsi="Calibri"/>
          <w:sz w:val="22"/>
          <w:szCs w:val="22"/>
        </w:rPr>
        <w:t xml:space="preserve">You may prepare the explanation personally or with reasonable assistance from a union representative or counsel of your choice. You may request a reasonable extension before the deadline when needed for records, representation, disability or language accommodation, illness, or another documented fairness reason. The employer will consider the request in good faith and confirm any revised date in writing.</w:t>
      </w:r>
    </w:p>
    <w:p>
      <w:pPr>
        <w:keepLines/>
        <w:spacing w:after="120" w:line="264"/>
        <w:jc w:val="both"/>
      </w:pPr>
      <w:r>
        <w:rPr>
          <w:rFonts w:ascii="Calibri" w:cs="Calibri" w:eastAsia="Calibri" w:hAnsi="Calibri"/>
          <w:sz w:val="22"/>
          <w:szCs w:val="22"/>
        </w:rPr>
        <w:t xml:space="preserve">To request a conference, record access, accommodation, or extension: Contact the Human Resources Department using the response destination stated in this Notice. A failure to respond after proven service and a genuine opportunity is not an automatic admission; the employer may proceed only by fairly evaluating the available substantial evidence and documenting the opportunity provided.</w:t>
      </w:r>
    </w:p>
    <w:p>
      <w:pPr>
        <w:pStyle w:val="Heading2"/>
        <w:keepNext/>
        <w:spacing w:after="120" w:before="240"/>
      </w:pPr>
      <w:r>
        <w:rPr>
          <w:rFonts w:ascii="Calibri" w:cs="Calibri" w:eastAsia="Calibri" w:hAnsi="Calibri"/>
          <w:b/>
          <w:bCs/>
          <w:color w:val="102B3F"/>
          <w:sz w:val="26"/>
          <w:szCs w:val="26"/>
        </w:rPr>
        <w:t xml:space="preserve">OPPORTUNITY TO BE HEARD</w:t>
      </w:r>
    </w:p>
    <w:p>
      <w:pPr>
        <w:keepLines/>
        <w:spacing w:after="120" w:line="264"/>
        <w:jc w:val="both"/>
      </w:pPr>
      <w:r>
        <w:rPr>
          <w:rFonts w:ascii="Calibri" w:cs="Calibri" w:eastAsia="Calibri" w:hAnsi="Calibri"/>
          <w:sz w:val="22"/>
          <w:szCs w:val="22"/>
        </w:rPr>
        <w:t xml:space="preserve">A fair conference will be arranged on your written request and whenever substantial evidentiary disputes, company rule or practice, an applicable CBA, fairness, or similar circumstances require it. Whether through written submissions or a conference, you will receive a meaningful opportunity to answer and submit evidence.</w:t>
      </w:r>
    </w:p>
    <w:p>
      <w:pPr>
        <w:keepLines/>
        <w:spacing w:after="120" w:line="264"/>
        <w:jc w:val="both"/>
      </w:pPr>
      <w:r>
        <w:rPr>
          <w:rFonts w:ascii="Calibri" w:cs="Calibri" w:eastAsia="Calibri" w:hAnsi="Calibri"/>
          <w:sz w:val="22"/>
          <w:szCs w:val="22"/>
        </w:rPr>
        <w:t xml:space="preserve">No separate union or CBA process was identified from the records reviewed; notify the process contact promptly if one applies.</w:t>
      </w:r>
    </w:p>
    <w:p>
      <w:pPr>
        <w:pStyle w:val="Heading2"/>
        <w:keepNext/>
        <w:spacing w:after="120" w:before="240"/>
      </w:pPr>
      <w:r>
        <w:rPr>
          <w:rFonts w:ascii="Calibri" w:cs="Calibri" w:eastAsia="Calibri" w:hAnsi="Calibri"/>
          <w:b/>
          <w:bCs/>
          <w:color w:val="102B3F"/>
          <w:sz w:val="26"/>
          <w:szCs w:val="26"/>
        </w:rPr>
        <w:t xml:space="preserve">INTERIM STATUS</w:t>
      </w:r>
    </w:p>
    <w:p>
      <w:pPr>
        <w:keepLines/>
        <w:spacing w:after="120" w:line="264"/>
        <w:jc w:val="both"/>
      </w:pPr>
      <w:r>
        <w:rPr>
          <w:rFonts w:ascii="Calibri" w:cs="Calibri" w:eastAsia="Calibri" w:hAnsi="Calibri"/>
          <w:sz w:val="22"/>
          <w:szCs w:val="22"/>
        </w:rPr>
        <w:t xml:space="preserve">This Notice does not impose preventive suspension. Ordinary work, lawful instructions, pay, benefits, access, and reporting arrangements continue unless a separate lawful written measure is served. Evidence-preservation or access directions must be specific, proportionate, and must not obstruct preparation of the defense.</w:t>
      </w:r>
    </w:p>
    <w:p>
      <w:pPr>
        <w:pStyle w:val="Heading2"/>
        <w:keepNext/>
        <w:spacing w:after="120" w:before="240"/>
      </w:pPr>
      <w:r>
        <w:rPr>
          <w:rFonts w:ascii="Calibri" w:cs="Calibri" w:eastAsia="Calibri" w:hAnsi="Calibri"/>
          <w:b/>
          <w:bCs/>
          <w:color w:val="102B3F"/>
          <w:sz w:val="26"/>
          <w:szCs w:val="26"/>
        </w:rPr>
        <w:t xml:space="preserve">CONFIDENTIALITY, PRIVACY, AND NON-RETALIATION</w:t>
      </w:r>
    </w:p>
    <w:p>
      <w:pPr>
        <w:keepLines/>
        <w:spacing w:after="120" w:line="264"/>
        <w:jc w:val="both"/>
      </w:pPr>
      <w:r>
        <w:rPr>
          <w:rFonts w:ascii="Calibri" w:cs="Calibri" w:eastAsia="Calibri" w:hAnsi="Calibri"/>
          <w:sz w:val="22"/>
          <w:szCs w:val="22"/>
        </w:rPr>
        <w:t xml:space="preserve">The employer will restrict this notice, evidence, witness information, response, conference, and decision record to authorized need-to-know recipients; use personal data only for a lawful, necessary, proportionate, and secure purpose; remove unnecessary identifiers and unrelated sensitive data; preserve required records; and prevent gossip, publication, retaliation, or unauthorized disclosure.</w:t>
      </w:r>
    </w:p>
    <w:p>
      <w:pPr>
        <w:keepLines/>
        <w:spacing w:after="120" w:line="264"/>
        <w:jc w:val="both"/>
      </w:pPr>
      <w:r>
        <w:rPr>
          <w:rFonts w:ascii="Calibri" w:cs="Calibri" w:eastAsia="Calibri" w:hAnsi="Calibri"/>
          <w:sz w:val="22"/>
          <w:szCs w:val="22"/>
        </w:rPr>
        <w:t xml:space="preserve">Participation in this process does not authorize retaliation for protected union activity, concerted activity, wage or safety concerns, protected leave, discrimination complaints, whistleblowing, data-subject requests, testimony, or other protected conduct. Raising such a concern will be evaluated separately and impartially.</w:t>
      </w:r>
    </w:p>
    <w:p>
      <w:pPr>
        <w:pStyle w:val="Heading2"/>
        <w:keepNext/>
        <w:spacing w:after="120" w:before="240"/>
      </w:pPr>
      <w:r>
        <w:rPr>
          <w:rFonts w:ascii="Calibri" w:cs="Calibri" w:eastAsia="Calibri" w:hAnsi="Calibri"/>
          <w:b/>
          <w:bCs/>
          <w:color w:val="102B3F"/>
          <w:sz w:val="26"/>
          <w:szCs w:val="26"/>
        </w:rPr>
        <w:t xml:space="preserve">SERVICE AND NEXT PROCESS STEP</w:t>
      </w:r>
    </w:p>
    <w:p>
      <w:pPr>
        <w:keepLines/>
        <w:spacing w:after="120" w:line="264"/>
        <w:jc w:val="both"/>
      </w:pPr>
      <w:r>
        <w:rPr>
          <w:rFonts w:ascii="Calibri" w:cs="Calibri" w:eastAsia="Calibri" w:hAnsi="Calibri"/>
          <w:sz w:val="22"/>
          <w:szCs w:val="22"/>
        </w:rPr>
        <w:t xml:space="preserve">Planned service is on August 30, 2026 by personal service with dated proof of receipt or documented refusal at Makati Central Store, 1200 Ayala Avenue, Makati City. Supplemental delivery does not replace the primary method where current rules require personal service or service to the last-known address. The exact notice, attachments, dispatch, receipt, refusal, return, and response will be preserved as follows: Retain the signed notice and attachments, dated personal-service receipt or refusal witness record, email transmission copy, response, and conference record.</w:t>
      </w:r>
    </w:p>
    <w:p>
      <w:pPr>
        <w:keepLines/>
        <w:spacing w:after="120" w:line="264"/>
        <w:jc w:val="both"/>
      </w:pPr>
      <w:r>
        <w:rPr>
          <w:rFonts w:ascii="Calibri" w:cs="Calibri" w:eastAsia="Calibri" w:hAnsi="Calibri"/>
          <w:sz w:val="22"/>
          <w:szCs w:val="22"/>
        </w:rPr>
        <w:t xml:space="preserve">After the response period and every required conference, the impartial decision-maker will evaluate the complete record. Any later disciplinary or termination notice must be separately written, state the established facts and grounds, show that the circumstances and employee response were considered, impose only a lawful and proportionate outcome, and be properly served. This first notice does not itself authorize dismissal.</w:t>
      </w:r>
    </w:p>
    <w:p>
      <w:pPr>
        <w:keepNext/>
        <w:spacing w:after="260" w:before="360"/>
      </w:pPr>
      <w:r>
        <w:rPr>
          <w:rFonts w:ascii="Calibri" w:cs="Calibri" w:eastAsia="Calibri" w:hAnsi="Calibri"/>
          <w:b/>
          <w:bCs/>
          <w:sz w:val="22"/>
          <w:szCs w:val="22"/>
        </w:rPr>
        <w:t xml:space="preserve">Issued by the Employer through its authorized officer. The employee's signature below, under "Received (receipt only)", confirms only the date and time of receipt. It is not agreement, an admission, or a waiver.</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Bayanihan Retail Corporation</w:t>
            </w:r>
          </w:p>
          <w:p>
            <w:pPr>
              <w:spacing w:after="120"/>
            </w:pPr>
            <w:r>
              <w:rPr>
                <w:rFonts w:ascii="Calibri" w:cs="Calibri" w:eastAsia="Calibri" w:hAnsi="Calibri"/>
                <w:sz w:val="22"/>
                <w:szCs w:val="22"/>
              </w:rPr>
              <w:t xml:space="preserve">By: Andrea Reyes
Signature: ______________________________</w:t>
            </w:r>
          </w:p>
          <w:p>
            <w:pPr>
              <w:spacing w:after="120"/>
            </w:pPr>
            <w:r>
              <w:rPr>
                <w:rFonts w:ascii="Calibri" w:cs="Calibri" w:eastAsia="Calibri" w:hAnsi="Calibri"/>
                <w:sz w:val="22"/>
                <w:szCs w:val="22"/>
              </w:rPr>
              <w:t xml:space="preserve">Human Resources Manager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Miguel Santos</w:t>
            </w:r>
          </w:p>
          <w:p>
            <w:pPr>
              <w:spacing w:after="120"/>
            </w:pPr>
            <w:r>
              <w:rPr>
                <w:rFonts w:ascii="Calibri" w:cs="Calibri" w:eastAsia="Calibri" w:hAnsi="Calibri"/>
                <w:sz w:val="22"/>
                <w:szCs w:val="22"/>
              </w:rPr>
              <w:t xml:space="preserve">Received (receipt only) on: __________________ at: __________
Signature: ______________________________</w:t>
            </w:r>
          </w:p>
          <w:p>
            <w:pPr>
              <w:spacing w:after="120"/>
            </w:pPr>
            <w:r>
              <w:rPr>
                <w:rFonts w:ascii="Calibri" w:cs="Calibri" w:eastAsia="Calibri" w:hAnsi="Calibri"/>
                <w:sz w:val="22"/>
                <w:szCs w:val="22"/>
              </w:rPr>
              <w:t xml:space="preserve">Acknowledgment of receipt only — not an admission or waiver</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Before service, have an authorized HR or labor-relations reviewer compare every allegation against original source records, material contrary information, the exact policy version, the employee's actual role, and every element of the provisional Article 297 ground. Remove labels or grounds the evidence does not support.</w:t>
      </w:r>
    </w:p>
    <w:p>
      <w:pPr>
        <w:pStyle w:val="ListParagraph"/>
        <w:keepNext/>
        <w:numPr>
          <w:ilvl w:val="0"/>
          <w:numId w:val="1"/>
        </w:numPr>
        <w:spacing w:after="120" w:line="264"/>
      </w:pPr>
      <w:r>
        <w:rPr>
          <w:rFonts w:ascii="Calibri" w:cs="Calibri" w:eastAsia="Calibri" w:hAnsi="Calibri"/>
          <w:sz w:val="22"/>
          <w:szCs w:val="22"/>
        </w:rPr>
        <w:t xml:space="preserve">Make the notice specific enough for an intelligent defense: itemized dates or honest limitations, times/shifts, place/system/account, acts or omissions, duty or order, involved transaction or property, alleged impact, evidence source, and exact policy or statutory ground. Never use a generic charge as a substitute for facts.</w:t>
      </w:r>
    </w:p>
    <w:p>
      <w:pPr>
        <w:pStyle w:val="ListParagraph"/>
        <w:keepNext/>
        <w:numPr>
          <w:ilvl w:val="0"/>
          <w:numId w:val="1"/>
        </w:numPr>
        <w:spacing w:after="120" w:line="264"/>
      </w:pPr>
      <w:r>
        <w:rPr>
          <w:rFonts w:ascii="Calibri" w:cs="Calibri" w:eastAsia="Calibri" w:hAnsi="Calibri"/>
          <w:sz w:val="22"/>
          <w:szCs w:val="22"/>
        </w:rPr>
        <w:t xml:space="preserve">Attach or securely make available the material defense records. Protect unrelated personal data, witnesses, privilege, and security through lawful redaction or supervised access without concealing the substance the employee must answer.</w:t>
      </w:r>
    </w:p>
    <w:p>
      <w:pPr>
        <w:pStyle w:val="ListParagraph"/>
        <w:keepNext/>
        <w:numPr>
          <w:ilvl w:val="0"/>
          <w:numId w:val="1"/>
        </w:numPr>
        <w:spacing w:after="120" w:line="264"/>
      </w:pPr>
      <w:r>
        <w:rPr>
          <w:rFonts w:ascii="Calibri" w:cs="Calibri" w:eastAsia="Calibri" w:hAnsi="Calibri"/>
          <w:sz w:val="22"/>
          <w:szCs w:val="22"/>
        </w:rPr>
        <w:t xml:space="preserve">Serve the complete notice and attachments by personal service with dated proof of receipt or documented refusal. Preserve the exact signed version and objective receipt, refusal, return, tracking, or address evidence. Calculate the deadline from actual receipt and move it later whenever necessary to provide at least five full calendar days.</w:t>
      </w:r>
    </w:p>
    <w:p>
      <w:pPr>
        <w:pStyle w:val="ListParagraph"/>
        <w:keepNext/>
        <w:numPr>
          <w:ilvl w:val="0"/>
          <w:numId w:val="1"/>
        </w:numPr>
        <w:spacing w:after="120" w:line="264"/>
      </w:pPr>
      <w:r>
        <w:rPr>
          <w:rFonts w:ascii="Calibri" w:cs="Calibri" w:eastAsia="Calibri" w:hAnsi="Calibri"/>
          <w:sz w:val="22"/>
          <w:szCs w:val="22"/>
        </w:rPr>
        <w:t xml:space="preserve">Log and answer requests for records, representation, translation, disability or other accommodation, extension, and conference. Hold a fair conference when requested in writing, when substantial evidentiary disputes exist, when policy/practice/CBA requires it, or when similar circumstances make it necessary.</w:t>
      </w:r>
    </w:p>
    <w:p>
      <w:pPr>
        <w:pStyle w:val="ListParagraph"/>
        <w:keepNext/>
        <w:numPr>
          <w:ilvl w:val="0"/>
          <w:numId w:val="1"/>
        </w:numPr>
        <w:spacing w:after="120" w:line="264"/>
      </w:pPr>
      <w:r>
        <w:rPr>
          <w:rFonts w:ascii="Calibri" w:cs="Calibri" w:eastAsia="Calibri" w:hAnsi="Calibri"/>
          <w:sz w:val="22"/>
          <w:szCs w:val="22"/>
        </w:rPr>
        <w:t xml:space="preserve">Do not restrict work, pay, access, benefits, or reporting as an informal punishment. If a later interim measure becomes necessary, issue a separate fact-supported and time-limited record after review.</w:t>
      </w:r>
    </w:p>
    <w:p>
      <w:pPr>
        <w:pStyle w:val="ListParagraph"/>
        <w:keepNext/>
        <w:numPr>
          <w:ilvl w:val="0"/>
          <w:numId w:val="1"/>
        </w:numPr>
        <w:spacing w:after="120" w:line="264"/>
      </w:pPr>
      <w:r>
        <w:rPr>
          <w:rFonts w:ascii="Calibri" w:cs="Calibri" w:eastAsia="Calibri" w:hAnsi="Calibri"/>
          <w:sz w:val="22"/>
          <w:szCs w:val="22"/>
        </w:rPr>
        <w:t xml:space="preserve">Require the decision-maker to review the employee's complete response, evidence, conference record, inconsistencies, mitigating and contrary facts, comparator concerns, CBA/policy, proportionality, and every legal element. Preserve a decision worksheet; do not merely repeat the accusation.</w:t>
      </w:r>
    </w:p>
    <w:p>
      <w:pPr>
        <w:pStyle w:val="ListParagraph"/>
        <w:keepNext w:val="false"/>
        <w:numPr>
          <w:ilvl w:val="0"/>
          <w:numId w:val="1"/>
        </w:numPr>
        <w:spacing w:after="120" w:line="264"/>
      </w:pPr>
      <w:r>
        <w:rPr>
          <w:rFonts w:ascii="Calibri" w:cs="Calibri" w:eastAsia="Calibri" w:hAnsi="Calibri"/>
          <w:sz w:val="22"/>
          <w:szCs w:val="22"/>
        </w:rPr>
        <w:t xml:space="preserve">If discipline is later supported, create and separately serve the proper notice of decision. Reassess with licensed Philippine labor counsel when termination, preventive suspension, union/CBA rights, protected conduct, criminal allegations, surveillance, sensitive data, unclear classification, or substantial factual disputes are involved.</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private-sector employment | Effective 2026-08-30 onward, subject to the recorded review cycle | Engineering draft · independent Philippine labor-lawyer review pending | Last legal check 2026-10-01 | Next review due 2026-11-30</w:t>
      </w:r>
    </w:p>
    <w:p>
      <w:pPr>
        <w:keepNext/>
        <w:spacing w:after="60" w:before="100"/>
      </w:pPr>
      <w:r>
        <w:rPr>
          <w:rFonts w:ascii="Calibri" w:cs="Calibri" w:eastAsia="Calibri" w:hAnsi="Calibri"/>
          <w:b/>
          <w:bCs/>
          <w:sz w:val="18"/>
          <w:szCs w:val="18"/>
        </w:rPr>
        <w:t xml:space="preserve">1987 Constitution of the Republic of the Philippines - Article XIII, Section 3 — protection to labor and security of tenure (checked 2026-08-30)</w:t>
      </w:r>
    </w:p>
    <w:p>
      <w:pPr>
        <w:spacing w:after="120"/>
      </w:pPr>
      <w:hyperlink w:history="1" r:id="rId4fi9t7ws93ypxkk34gr9r">
        <w:r>
          <w:rPr>
            <w:rFonts w:ascii="Calibri" w:cs="Calibri" w:eastAsia="Calibri" w:hAnsi="Calibri"/>
            <w:color w:val="315B75"/>
            <w:sz w:val="17"/>
            <w:szCs w:val="17"/>
            <w:u w:val="single"/>
          </w:rPr>
          <w:t xml:space="preserve">https://www.officialgazette.gov.ph/constitutions/1987-constitution/</w:t>
        </w:r>
      </w:hyperlink>
    </w:p>
    <w:p>
      <w:pPr>
        <w:keepNext/>
        <w:spacing w:after="60" w:before="100"/>
      </w:pPr>
      <w:r>
        <w:rPr>
          <w:rFonts w:ascii="Calibri" w:cs="Calibri" w:eastAsia="Calibri" w:hAnsi="Calibri"/>
          <w:b/>
          <w:bCs/>
          <w:sz w:val="18"/>
          <w:szCs w:val="18"/>
        </w:rPr>
        <w:t xml:space="preserve">Labor Code of the Philippines, Presidential Decree No. 442, as amended and renumbered — DOLE 2022 edition - Articles 292(b) [277(b)], 294 [279], and 297 [282] — opportunity to be heard, security of tenure, and just causes (checked 2026-10-01)</w:t>
      </w:r>
    </w:p>
    <w:p>
      <w:pPr>
        <w:spacing w:after="120"/>
      </w:pPr>
      <w:hyperlink w:history="1" r:id="rId-9uwae5dspo3cdxvrakgy">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DOLE Department Order No. 147-15 — Amending the IRR of Book VI of the Labor Code - Sec. 5.1(a)–(c): first notice with specific grounds and detailed facts, at least five calendar days to explain, hearing or conference conditions, and final notice; Sec. 5.2: elements of the just causes (checked 2026-10-01)</w:t>
      </w:r>
    </w:p>
    <w:p>
      <w:pPr>
        <w:spacing w:after="120"/>
      </w:pPr>
      <w:hyperlink w:history="1" r:id="rIdh1nqw8xd1x6hcw-lpfd6x">
        <w:r>
          <w:rPr>
            <w:rFonts w:ascii="Calibri" w:cs="Calibri" w:eastAsia="Calibri" w:hAnsi="Calibri"/>
            <w:color w:val="315B75"/>
            <w:sz w:val="17"/>
            <w:szCs w:val="17"/>
            <w:u w:val="single"/>
          </w:rPr>
          <w:t xml:space="preserve">https://web.archive.org/web/20211027155141/https://www.dole.gov.ph/php_assets/uploads/2017/07/Dept-Order-No_-147-15.pdf</w:t>
        </w:r>
      </w:hyperlink>
    </w:p>
    <w:p>
      <w:pPr>
        <w:keepNext/>
        <w:spacing w:after="60" w:before="100"/>
      </w:pPr>
      <w:r>
        <w:rPr>
          <w:rFonts w:ascii="Calibri" w:cs="Calibri" w:eastAsia="Calibri" w:hAnsi="Calibri"/>
          <w:b/>
          <w:bCs/>
          <w:sz w:val="18"/>
          <w:szCs w:val="18"/>
        </w:rPr>
        <w:t xml:space="preserve">DOLE Department Order No. 9, Series of 1997 (Rules Implementing Book V), Rule XXIII - Rule XXIII, Secs. 8–9: preventive suspension only for a serious and imminent threat to life or property, for no longer than 30 days, followed by reinstatement or a paid extension (checked 2026-10-01)</w:t>
      </w:r>
    </w:p>
    <w:p>
      <w:pPr>
        <w:spacing w:after="120"/>
      </w:pPr>
      <w:hyperlink w:history="1" r:id="rIdwxic2p4jk5pxrvxecxs6n">
        <w:r>
          <w:rPr>
            <w:rFonts w:ascii="Calibri" w:cs="Calibri" w:eastAsia="Calibri" w:hAnsi="Calibri"/>
            <w:color w:val="315B75"/>
            <w:sz w:val="17"/>
            <w:szCs w:val="17"/>
            <w:u w:val="single"/>
          </w:rPr>
          <w:t xml:space="preserve">https://elibrary.judiciary.gov.ph/thebookshelf/showdocs/10/40878</w:t>
        </w:r>
      </w:hyperlink>
    </w:p>
    <w:p>
      <w:pPr>
        <w:keepNext/>
        <w:spacing w:after="60" w:before="100"/>
      </w:pPr>
      <w:r>
        <w:rPr>
          <w:rFonts w:ascii="Calibri" w:cs="Calibri" w:eastAsia="Calibri" w:hAnsi="Calibri"/>
          <w:b/>
          <w:bCs/>
          <w:sz w:val="18"/>
          <w:szCs w:val="18"/>
        </w:rPr>
        <w:t xml:space="preserve">King of Kings Transport, Inc. v. Mamac, G.R. No. 166208 - Detailed first notice, specific legal/policy grounds, and at least five calendar days (checked 2026-08-30)</w:t>
      </w:r>
    </w:p>
    <w:p>
      <w:pPr>
        <w:spacing w:after="120"/>
      </w:pPr>
      <w:hyperlink w:history="1" r:id="rIdfxxb7cbbrswjg5gnt8ail">
        <w:r>
          <w:rPr>
            <w:rFonts w:ascii="Calibri" w:cs="Calibri" w:eastAsia="Calibri" w:hAnsi="Calibri"/>
            <w:color w:val="315B75"/>
            <w:sz w:val="17"/>
            <w:szCs w:val="17"/>
            <w:u w:val="single"/>
          </w:rPr>
          <w:t xml:space="preserve">https://lawphil.net/judjuris/juri2007/jun2007/gr_166208_2007.html</w:t>
        </w:r>
      </w:hyperlink>
    </w:p>
    <w:p>
      <w:pPr>
        <w:keepNext/>
        <w:spacing w:after="60" w:before="100"/>
      </w:pPr>
      <w:r>
        <w:rPr>
          <w:rFonts w:ascii="Calibri" w:cs="Calibri" w:eastAsia="Calibri" w:hAnsi="Calibri"/>
          <w:b/>
          <w:bCs/>
          <w:sz w:val="18"/>
          <w:szCs w:val="18"/>
        </w:rPr>
        <w:t xml:space="preserve">Maula v. Ximex Delivery Express, Inc., G.R. No. 207838 - Meaningful opportunity to respond and circumstances requiring a conference (checked 2026-08-30)</w:t>
      </w:r>
    </w:p>
    <w:p>
      <w:pPr>
        <w:spacing w:after="120"/>
      </w:pPr>
      <w:hyperlink w:history="1" r:id="rIdgzv_6jqjw77cwkqy5pvqp">
        <w:r>
          <w:rPr>
            <w:rFonts w:ascii="Calibri" w:cs="Calibri" w:eastAsia="Calibri" w:hAnsi="Calibri"/>
            <w:color w:val="315B75"/>
            <w:sz w:val="17"/>
            <w:szCs w:val="17"/>
            <w:u w:val="single"/>
          </w:rPr>
          <w:t xml:space="preserve">https://lawphil.net/judjuris/juri2017/jan2017/gr_207838_2017.html</w:t>
        </w:r>
      </w:hyperlink>
    </w:p>
    <w:p>
      <w:pPr>
        <w:keepNext/>
        <w:spacing w:after="60" w:before="100"/>
      </w:pPr>
      <w:r>
        <w:rPr>
          <w:rFonts w:ascii="Calibri" w:cs="Calibri" w:eastAsia="Calibri" w:hAnsi="Calibri"/>
          <w:b/>
          <w:bCs/>
          <w:sz w:val="18"/>
          <w:szCs w:val="18"/>
        </w:rPr>
        <w:t xml:space="preserve">Perez v. Philippine Telegraph and Telephone Co., G.R. No. 152048 - Ample opportunity to be heard; formal conference when requested or otherwise required (checked 2026-08-30)</w:t>
      </w:r>
    </w:p>
    <w:p>
      <w:pPr>
        <w:spacing w:after="120"/>
      </w:pPr>
      <w:hyperlink w:history="1" r:id="rIdo5bwlida6mknqnwq3s24v">
        <w:r>
          <w:rPr>
            <w:rFonts w:ascii="Calibri" w:cs="Calibri" w:eastAsia="Calibri" w:hAnsi="Calibri"/>
            <w:color w:val="315B75"/>
            <w:sz w:val="17"/>
            <w:szCs w:val="17"/>
            <w:u w:val="single"/>
          </w:rPr>
          <w:t xml:space="preserve">https://lawphil.net/judjuris/juri2009/apr2009/gr_152048_2009.html</w:t>
        </w:r>
      </w:hyperlink>
    </w:p>
    <w:p>
      <w:pPr>
        <w:keepNext/>
        <w:spacing w:after="60" w:before="100"/>
      </w:pPr>
      <w:r>
        <w:rPr>
          <w:rFonts w:ascii="Calibri" w:cs="Calibri" w:eastAsia="Calibri" w:hAnsi="Calibri"/>
          <w:b/>
          <w:bCs/>
          <w:sz w:val="18"/>
          <w:szCs w:val="18"/>
        </w:rPr>
        <w:t xml:space="preserve">Mamaril v. Red System Company, Inc., G.R. No. 229920 - Applies the serious-and-imminent-threat standard and the 30-day limit of the Implementing Rules (Book V, Rule XXIII, Secs. 8–9) (checked 2026-08-30)</w:t>
      </w:r>
    </w:p>
    <w:p>
      <w:pPr>
        <w:spacing w:after="120"/>
      </w:pPr>
      <w:hyperlink w:history="1" r:id="rIdunoyskvtqg-7ztzuoejmz">
        <w:r>
          <w:rPr>
            <w:rFonts w:ascii="Calibri" w:cs="Calibri" w:eastAsia="Calibri" w:hAnsi="Calibri"/>
            <w:color w:val="315B75"/>
            <w:sz w:val="17"/>
            <w:szCs w:val="17"/>
            <w:u w:val="single"/>
          </w:rPr>
          <w:t xml:space="preserve">https://lawphil.net/judjuris/juri2018/jul2018/gr_229920_2018.html</w:t>
        </w:r>
      </w:hyperlink>
    </w:p>
    <w:p>
      <w:pPr>
        <w:keepNext/>
        <w:spacing w:after="60" w:before="100"/>
      </w:pPr>
      <w:r>
        <w:rPr>
          <w:rFonts w:ascii="Calibri" w:cs="Calibri" w:eastAsia="Calibri" w:hAnsi="Calibri"/>
          <w:b/>
          <w:bCs/>
          <w:sz w:val="18"/>
          <w:szCs w:val="18"/>
        </w:rPr>
        <w:t xml:space="preserve">Republic Act No. 10173 — Data Privacy Act of 2012 - Sections 11–13, 16, and 20 — proportionality, lawful processing, data-subject rights, and security (checked 2026-08-30)</w:t>
      </w:r>
    </w:p>
    <w:p>
      <w:pPr>
        <w:spacing w:after="120"/>
      </w:pPr>
      <w:hyperlink w:history="1" r:id="rIdpwfzikk1xtuuhhnhuwn6q">
        <w:r>
          <w:rPr>
            <w:rFonts w:ascii="Calibri" w:cs="Calibri" w:eastAsia="Calibri" w:hAnsi="Calibri"/>
            <w:color w:val="315B75"/>
            <w:sz w:val="17"/>
            <w:szCs w:val="17"/>
            <w:u w:val="single"/>
          </w:rPr>
          <w:t xml:space="preserve">https://privacy.gov.ph/data-privacy-act/</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fi9t7ws93ypxkk34gr9r" Type="http://schemas.openxmlformats.org/officeDocument/2006/relationships/hyperlink" Target="https://www.officialgazette.gov.ph/constitutions/1987-constitution/" TargetMode="External"/><Relationship Id="rId-9uwae5dspo3cdxvrakgy" Type="http://schemas.openxmlformats.org/officeDocument/2006/relationships/hyperlink" Target="https://web.archive.org/web/20220402205705/https://bwc.dole.gov.ph/images/Downloads/2022_02_02_LaborCode_ofthe_Philippines_2022DOLE_edition.pdf" TargetMode="External"/><Relationship Id="rIdh1nqw8xd1x6hcw-lpfd6x" Type="http://schemas.openxmlformats.org/officeDocument/2006/relationships/hyperlink" Target="https://web.archive.org/web/20211027155141/https://www.dole.gov.ph/php_assets/uploads/2017/07/Dept-Order-No_-147-15.pdf" TargetMode="External"/><Relationship Id="rIdwxic2p4jk5pxrvxecxs6n" Type="http://schemas.openxmlformats.org/officeDocument/2006/relationships/hyperlink" Target="https://elibrary.judiciary.gov.ph/thebookshelf/showdocs/10/40878" TargetMode="External"/><Relationship Id="rIdfxxb7cbbrswjg5gnt8ail" Type="http://schemas.openxmlformats.org/officeDocument/2006/relationships/hyperlink" Target="https://lawphil.net/judjuris/juri2007/jun2007/gr_166208_2007.html" TargetMode="External"/><Relationship Id="rIdgzv_6jqjw77cwkqy5pvqp" Type="http://schemas.openxmlformats.org/officeDocument/2006/relationships/hyperlink" Target="https://lawphil.net/judjuris/juri2017/jan2017/gr_207838_2017.html" TargetMode="External"/><Relationship Id="rIdo5bwlida6mknqnwq3s24v" Type="http://schemas.openxmlformats.org/officeDocument/2006/relationships/hyperlink" Target="https://lawphil.net/judjuris/juri2009/apr2009/gr_152048_2009.html" TargetMode="External"/><Relationship Id="rIdunoyskvtqg-7ztzuoejmz" Type="http://schemas.openxmlformats.org/officeDocument/2006/relationships/hyperlink" Target="https://lawphil.net/judjuris/juri2018/jul2018/gr_229920_2018.html" TargetMode="External"/><Relationship Id="rIdpwfzikk1xtuuhhnhuwn6q" Type="http://schemas.openxmlformats.org/officeDocument/2006/relationships/hyperlink" Target="https://privacy.gov.ph/data-privacy-act/"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Explain</dc:title>
  <dc:creator>LAW.PH</dc:creator>
  <dc:description>Free sample of the Notice to Explain from LAW.PH, with fictional details</dc:description>
  <cp:lastModifiedBy>Un-named</cp:lastModifiedBy>
  <cp:revision>1</cp:revision>
  <dcterms:created xsi:type="dcterms:W3CDTF">2026-10-02T05:29:58.735Z</dcterms:created>
  <dcterms:modified xsi:type="dcterms:W3CDTF">2026-10-02T05:29:58.735Z</dcterms:modified>
</cp:coreProperties>
</file>

<file path=docProps/custom.xml><?xml version="1.0" encoding="utf-8"?>
<Properties xmlns="http://schemas.openxmlformats.org/officeDocument/2006/custom-properties" xmlns:vt="http://schemas.openxmlformats.org/officeDocument/2006/docPropsVTypes"/>
</file>