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GENERAL PARTNERSHIP AGREEMENT</w:t>
      </w:r>
    </w:p>
    <w:p>
      <w:pPr>
        <w:spacing w:after="160"/>
        <w:jc w:val="center"/>
      </w:pPr>
      <w:r>
        <w:rPr>
          <w:rFonts w:ascii="Calibri" w:cs="Calibri" w:eastAsia="Calibri" w:hAnsi="Calibri"/>
          <w:color w:val="566674"/>
          <w:sz w:val="18"/>
          <w:szCs w:val="18"/>
        </w:rPr>
        <w:t xml:space="preserve">Santos &amp; Reyes Creative Partners · General partnership · public instrument and SEC/BIR registration route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business-lawyer review pending</w:t>
      </w:r>
    </w:p>
    <w:p>
      <w:pPr>
        <w:pStyle w:val="Heading2"/>
        <w:keepNext/>
        <w:spacing w:after="120" w:before="240"/>
      </w:pPr>
      <w:r>
        <w:rPr>
          <w:rFonts w:ascii="Calibri" w:cs="Calibri" w:eastAsia="Calibri" w:hAnsi="Calibri"/>
          <w:b/>
          <w:bCs/>
          <w:color w:val="102B3F"/>
          <w:sz w:val="26"/>
          <w:szCs w:val="26"/>
        </w:rPr>
        <w:t xml:space="preserve">PARTIES AND FORMATION</w:t>
      </w:r>
    </w:p>
    <w:p>
      <w:pPr>
        <w:keepLines/>
        <w:spacing w:after="120" w:line="264"/>
        <w:jc w:val="both"/>
      </w:pPr>
      <w:r>
        <w:rPr>
          <w:rFonts w:ascii="Calibri" w:cs="Calibri" w:eastAsia="Calibri" w:hAnsi="Calibri"/>
          <w:sz w:val="22"/>
          <w:szCs w:val="22"/>
        </w:rPr>
        <w:t xml:space="preserve">This Partnership Agreement is made on August 30, 2026 by Maria Elena Santos and Ana Lucia Reyes (collectively, the “Partners”). They agree to associate as Santos &amp; Reyes Creative Partners (the “Partnership”), a general partnership under Philippine law, with principal office at Unit 402, 18 Acacia Avenue, Barangay Kapitolyo, Pasig City 1603.</w:t>
      </w:r>
    </w:p>
    <w:p>
      <w:pPr>
        <w:keepLines/>
        <w:spacing w:after="120" w:line="264"/>
        <w:jc w:val="both"/>
      </w:pPr>
      <w:r>
        <w:rPr>
          <w:rFonts w:ascii="Calibri" w:cs="Calibri" w:eastAsia="Calibri" w:hAnsi="Calibri"/>
          <w:sz w:val="22"/>
          <w:szCs w:val="22"/>
        </w:rPr>
        <w:t xml:space="preserve">The Partnership is formed from October 1, 2026 through September 30, 2031, unless earlier dissolved under this Agreement or law. Its fiscal year ends 31 December. The lawful particular purpose is: Operate a Philippine digital design and brand consultancy serving local small businesses through project-based strategy, design, and implementation services in Metro Manila and online.</w:t>
      </w:r>
    </w:p>
    <w:p>
      <w:pPr>
        <w:keepLines/>
        <w:spacing w:after="120" w:line="264"/>
        <w:jc w:val="both"/>
      </w:pPr>
      <w:r>
        <w:rPr>
          <w:rFonts w:ascii="Calibri" w:cs="Calibri" w:eastAsia="Calibri" w:hAnsi="Calibri"/>
          <w:sz w:val="22"/>
          <w:szCs w:val="22"/>
        </w:rPr>
        <w:t xml:space="preserve">Current route identified by the interview: General partnership · public instrument and SEC/BIR registration route. This internal agreement is not an SEC Certificate of Recording, SEC-approved Articles of Partnership, BIR Certificate of Registration, business permit, professional or sector license, foreign-investment clearance, beneficial-ownership filing, or proof of notarization.</w:t>
      </w:r>
    </w:p>
    <w:p>
      <w:pPr>
        <w:keepLines/>
        <w:spacing w:after="120" w:line="264"/>
        <w:jc w:val="both"/>
      </w:pPr>
      <w:r>
        <w:rPr>
          <w:rFonts w:ascii="Calibri" w:cs="Calibri" w:eastAsia="Calibri" w:hAnsi="Calibri"/>
          <w:sz w:val="22"/>
          <w:szCs w:val="22"/>
        </w:rPr>
        <w:t xml:space="preserve">The Partners intend to complete the applicable formation and registration steps before representing that the Partnership is recorded, tax-registered, licensed, or authorized to operate.</w:t>
      </w:r>
    </w:p>
    <w:p>
      <w:pPr>
        <w:pStyle w:val="Heading2"/>
        <w:keepNext/>
        <w:spacing w:after="120" w:before="240"/>
      </w:pPr>
      <w:r>
        <w:rPr>
          <w:rFonts w:ascii="Calibri" w:cs="Calibri" w:eastAsia="Calibri" w:hAnsi="Calibri"/>
          <w:b/>
          <w:bCs/>
          <w:color w:val="102B3F"/>
          <w:sz w:val="26"/>
          <w:szCs w:val="26"/>
        </w:rPr>
        <w:t xml:space="preserve">PARTNERS, CONTRIBUTIONS, AND CAPITAL</w:t>
      </w:r>
    </w:p>
    <w:p>
      <w:pPr>
        <w:keepLines/>
        <w:spacing w:after="120" w:line="264"/>
        <w:jc w:val="both"/>
      </w:pPr>
      <w:r>
        <w:rPr>
          <w:rFonts w:ascii="Calibri" w:cs="Calibri" w:eastAsia="Calibri" w:hAnsi="Calibri"/>
          <w:sz w:val="22"/>
          <w:szCs w:val="22"/>
        </w:rPr>
        <w:t xml:space="preserve">1. Maria Elena Santos, Filipino, Married; contribution is verified separate property, residing at 24 Sampaguita Street, Quezon City 1103, contributes money and property: ₱150,000 by bank transfer and one documented design workstation owned free of liens, assigned an agreed value of ₱50,000. Agreed capital value: ₱200,000.00. Delivery or performance: Cash to the partnership bank account and workstation turnover on or before 1 October 2026. Profit share: 50%; stated loss share: 50%.</w:t>
      </w:r>
    </w:p>
    <w:p>
      <w:pPr>
        <w:keepLines/>
        <w:spacing w:after="120" w:line="264"/>
        <w:jc w:val="both"/>
      </w:pPr>
      <w:r>
        <w:rPr>
          <w:rFonts w:ascii="Calibri" w:cs="Calibri" w:eastAsia="Calibri" w:hAnsi="Calibri"/>
          <w:sz w:val="22"/>
          <w:szCs w:val="22"/>
        </w:rPr>
        <w:t xml:space="preserve">2. Ana Lucia Reyes, Filipino, Single, residing at 88 Acacia Avenue, Pasig City 1605, contributes money and property: ₱150,000 by bank transfer and documented camera equipment owned free of liens, assigned an agreed value of ₱50,000. Agreed capital value: ₱200,000.00. Delivery or performance: Cash to the partnership bank account and camera-equipment turnover on or before 1 October 2026. Profit share: 50%; stated loss share: 50%.</w:t>
      </w:r>
    </w:p>
    <w:p>
      <w:pPr>
        <w:keepLines/>
        <w:spacing w:after="120" w:line="264"/>
        <w:jc w:val="both"/>
      </w:pPr>
      <w:r>
        <w:rPr>
          <w:rFonts w:ascii="Calibri" w:cs="Calibri" w:eastAsia="Calibri" w:hAnsi="Calibri"/>
          <w:sz w:val="22"/>
          <w:szCs w:val="22"/>
        </w:rPr>
        <w:t xml:space="preserve">The stated aggregate capital value is ₱400,000.00. Non-cash valuation method: Cash at face value; equipment values supported by dated comparable quotations, serial-number schedules, ownership receipts, physical inspection, and unanimous written acceptance. Capital values do not guarantee return, resale value, tax basis, or third-party valuation. Each contributor warrants lawful ownership or authority, discloses liens and retained rights, and must complete promised delivery without substituting a materially different asset or service without unanimous written approval.</w:t>
      </w:r>
    </w:p>
    <w:p>
      <w:pPr>
        <w:keepLines/>
        <w:spacing w:after="120" w:line="264"/>
        <w:jc w:val="both"/>
      </w:pPr>
      <w:r>
        <w:rPr>
          <w:rFonts w:ascii="Calibri" w:cs="Calibri" w:eastAsia="Calibri" w:hAnsi="Calibri"/>
          <w:sz w:val="22"/>
          <w:szCs w:val="22"/>
        </w:rPr>
        <w:t xml:space="preserve">No community or conjugal property contribution is stated. A later discovery requires immediate suspension of the affected transfer and property-regime review.</w:t>
      </w:r>
    </w:p>
    <w:p>
      <w:pPr>
        <w:keepLines/>
        <w:spacing w:after="120" w:line="264"/>
        <w:jc w:val="both"/>
      </w:pPr>
      <w:r>
        <w:rPr>
          <w:rFonts w:ascii="Calibri" w:cs="Calibri" w:eastAsia="Calibri" w:hAnsi="Calibri"/>
          <w:sz w:val="22"/>
          <w:szCs w:val="22"/>
        </w:rPr>
        <w:t xml:space="preserve">No intellectual-property contribution is stated. Partnership-created work, branding, data, and software remain governed by the separate IP clause below.</w:t>
      </w:r>
    </w:p>
    <w:p>
      <w:pPr>
        <w:pStyle w:val="Heading2"/>
        <w:keepNext/>
        <w:spacing w:after="120" w:before="240"/>
      </w:pPr>
      <w:r>
        <w:rPr>
          <w:rFonts w:ascii="Calibri" w:cs="Calibri" w:eastAsia="Calibri" w:hAnsi="Calibri"/>
          <w:b/>
          <w:bCs/>
          <w:color w:val="102B3F"/>
          <w:sz w:val="26"/>
          <w:szCs w:val="26"/>
        </w:rPr>
        <w:t xml:space="preserve">PROFITS, LOSSES, CAPITAL ACCOUNTS, AND CASH</w:t>
      </w:r>
    </w:p>
    <w:p>
      <w:pPr>
        <w:keepLines/>
        <w:spacing w:after="120" w:line="264"/>
        <w:jc w:val="both"/>
      </w:pPr>
      <w:r>
        <w:rPr>
          <w:rFonts w:ascii="Calibri" w:cs="Calibri" w:eastAsia="Calibri" w:hAnsi="Calibri"/>
          <w:sz w:val="22"/>
          <w:szCs w:val="22"/>
        </w:rPr>
        <w:t xml:space="preserve">Profits are allocated Maria Elena Santos: 50%; Ana Lucia Reyes: 50%. Stated loss shares are Maria Elena Santos: 50%; Ana Lucia Reyes: 50%, subject to mandatory Civil Code rules, including the rule applicable to a purely industrial partner. No partner is excluded from profits, and no allocation creates a risk-free investment return.</w:t>
      </w:r>
    </w:p>
    <w:p>
      <w:pPr>
        <w:keepLines/>
        <w:spacing w:after="120" w:line="264"/>
        <w:jc w:val="both"/>
      </w:pPr>
      <w:r>
        <w:rPr>
          <w:rFonts w:ascii="Calibri" w:cs="Calibri" w:eastAsia="Calibri" w:hAnsi="Calibri"/>
          <w:sz w:val="22"/>
          <w:szCs w:val="22"/>
        </w:rPr>
        <w:t xml:space="preserve">Distributions: Quarterly distributions may be approved only after finalizing management accounts, paying due obligations, funding required reserves, and confirming that the distribution will not prejudice creditors or operations. Reserves: Maintain cash equal to at least three months of forecast operating expenses plus accrued taxes, payroll, customer refunds, warranties, and committed project costs.</w:t>
      </w:r>
    </w:p>
    <w:p>
      <w:pPr>
        <w:keepLines/>
        <w:spacing w:after="120" w:line="264"/>
        <w:jc w:val="both"/>
      </w:pPr>
      <w:r>
        <w:rPr>
          <w:rFonts w:ascii="Calibri" w:cs="Calibri" w:eastAsia="Calibri" w:hAnsi="Calibri"/>
          <w:sz w:val="22"/>
          <w:szCs w:val="22"/>
        </w:rPr>
        <w:t xml:space="preserve">Capital accounts and advances: Maintain a separate capital account and partner-advance ledger for each partner; additional capital requires unanimous written approval, while advances must state repayment priority and any lawful written interest. Drawings: No personal drawing is allowed except the approved monthly partner allowance, recorded against distributions and reconciled quarterly without overdrawing a capital account.</w:t>
      </w:r>
    </w:p>
    <w:p>
      <w:pPr>
        <w:keepLines/>
        <w:spacing w:after="120" w:line="264"/>
        <w:jc w:val="both"/>
      </w:pPr>
      <w:r>
        <w:rPr>
          <w:rFonts w:ascii="Calibri" w:cs="Calibri" w:eastAsia="Calibri" w:hAnsi="Calibri"/>
          <w:sz w:val="22"/>
          <w:szCs w:val="22"/>
        </w:rPr>
        <w:t xml:space="preserve">Compensation and reimbursements: Partners receive no salary merely as partners; approved reimbursements require receipts, and any distinct employment or service arrangement must be genuine, written, and separately administered. A partner is not treated as an employee merely by label; any genuine separate employment or service relationship must be documented and administered according to its actual facts and mandatory law.</w:t>
      </w:r>
    </w:p>
    <w:p>
      <w:pPr>
        <w:keepLines/>
        <w:spacing w:after="120" w:line="264"/>
        <w:jc w:val="both"/>
      </w:pPr>
      <w:r>
        <w:rPr>
          <w:rFonts w:ascii="Calibri" w:cs="Calibri" w:eastAsia="Calibri" w:hAnsi="Calibri"/>
          <w:sz w:val="22"/>
          <w:szCs w:val="22"/>
        </w:rPr>
        <w:t xml:space="preserve">Tax and invoicing responsibilities: The managing partner coordinates BIR registration, books, invoicing, withholding, returns, and tax certificates with the retained accountant; each partner remains responsible for personal filings and providing accurate tax information.</w:t>
      </w:r>
    </w:p>
    <w:p>
      <w:pPr>
        <w:pStyle w:val="Heading2"/>
        <w:keepNext/>
        <w:spacing w:after="120" w:before="240"/>
      </w:pPr>
      <w:r>
        <w:rPr>
          <w:rFonts w:ascii="Calibri" w:cs="Calibri" w:eastAsia="Calibri" w:hAnsi="Calibri"/>
          <w:b/>
          <w:bCs/>
          <w:color w:val="102B3F"/>
          <w:sz w:val="26"/>
          <w:szCs w:val="26"/>
        </w:rPr>
        <w:t xml:space="preserve">MANAGEMENT, AUTHORITY, AND RESERVED MATTERS</w:t>
      </w:r>
    </w:p>
    <w:p>
      <w:pPr>
        <w:keepLines/>
        <w:spacing w:after="120" w:line="264"/>
        <w:jc w:val="both"/>
      </w:pPr>
      <w:r>
        <w:rPr>
          <w:rFonts w:ascii="Calibri" w:cs="Calibri" w:eastAsia="Calibri" w:hAnsi="Calibri"/>
          <w:sz w:val="22"/>
          <w:szCs w:val="22"/>
        </w:rPr>
        <w:t xml:space="preserve">Maria Elena Santos manages day-to-day administration subject to: Manage ordinary client intake, staffing, purchasing, bank reconciliation, compliance calendar, monthly management accounts, budget variance reports, and prompt escalation of any reserved matter or conflict. Ordinary internal decisions require partners holding more than fifty percent of the profit-sharing interests held by the partners.</w:t>
      </w:r>
    </w:p>
    <w:p>
      <w:pPr>
        <w:keepLines/>
        <w:spacing w:after="120" w:line="264"/>
        <w:jc w:val="both"/>
      </w:pPr>
      <w:r>
        <w:rPr>
          <w:rFonts w:ascii="Calibri" w:cs="Calibri" w:eastAsia="Calibri" w:hAnsi="Calibri"/>
          <w:sz w:val="22"/>
          <w:szCs w:val="22"/>
        </w:rPr>
        <w:t xml:space="preserve">The following require prior unanimous written approval: Admission or expulsion of a partner; changes to business purpose or name; capital calls; distributions outside policy; borrowing, guarantees, security, asset sales, settlements, related-party contracts, leases, IP transfers, litigation, contracts above limits, new branches, or dissolution.</w:t>
      </w:r>
    </w:p>
    <w:p>
      <w:pPr>
        <w:keepLines/>
        <w:spacing w:after="120" w:line="264"/>
        <w:jc w:val="both"/>
      </w:pPr>
      <w:r>
        <w:rPr>
          <w:rFonts w:ascii="Calibri" w:cs="Calibri" w:eastAsia="Calibri" w:hAnsi="Calibri"/>
          <w:sz w:val="22"/>
          <w:szCs w:val="22"/>
        </w:rPr>
        <w:t xml:space="preserve">Banking controls: All partnership receipts enter the partnership account; payments above ₱25,000 require both partners' approval, monthly statements go to both partners, and no partner may use a personal account for undisclosed business funds. An ordinary contract above ₱100,000.00 or borrowing above ₱0.00 requires the reserved approval stated above. Zero means no unilateral authority for that category.</w:t>
      </w:r>
    </w:p>
    <w:p>
      <w:pPr>
        <w:keepLines/>
        <w:spacing w:after="120" w:line="264"/>
        <w:jc w:val="both"/>
      </w:pPr>
      <w:r>
        <w:rPr>
          <w:rFonts w:ascii="Calibri" w:cs="Calibri" w:eastAsia="Calibri" w:hAnsi="Calibri"/>
          <w:sz w:val="22"/>
          <w:szCs w:val="22"/>
        </w:rPr>
        <w:t xml:space="preserve">Conflicts and related-party dealings: Disclose each actual or potential conflict before discussion, provide all material terms and alternatives, abstain from voting and execution, require disinterested unanimous written approval, and account for any unauthorized benefit or secret profit. A partner must account for unauthorized benefits and may not use partnership property, information, opportunity, or credit for concealed personal gain.</w:t>
      </w:r>
    </w:p>
    <w:p>
      <w:pPr>
        <w:keepLines/>
        <w:spacing w:after="120" w:line="264"/>
        <w:jc w:val="both"/>
      </w:pPr>
      <w:r>
        <w:rPr>
          <w:rFonts w:ascii="Calibri" w:cs="Calibri" w:eastAsia="Calibri" w:hAnsi="Calibri"/>
          <w:sz w:val="22"/>
          <w:szCs w:val="22"/>
        </w:rPr>
        <w:t xml:space="preserve">Books and accounting: Keep complete accrual-basis books, invoices, contracts, tax records, bank statements, asset and contribution schedules, decisions, and partner accounts for legally required periods; each partner receives secure reasonable access and monthly reports. Meetings and decisions: Give five business days' email and secure-message notice with agenda and records; both partners constitute quorum; decisions are minuted and signed, while emergencies require prompt written ratification with supporting evidence.</w:t>
      </w:r>
    </w:p>
    <w:p>
      <w:pPr>
        <w:keepLines/>
        <w:spacing w:after="120" w:line="264"/>
        <w:jc w:val="both"/>
      </w:pPr>
      <w:r>
        <w:rPr>
          <w:rFonts w:ascii="Calibri" w:cs="Calibri" w:eastAsia="Calibri" w:hAnsi="Calibri"/>
          <w:sz w:val="22"/>
          <w:szCs w:val="22"/>
        </w:rPr>
        <w:t xml:space="preserve">Each general partner is an agent for partnership business under the Civil Code. Internal restrictions must be communicated and implemented; they may not defeat the rights of a third person who lacks knowledge of the restriction when a partner acts with apparent authority. No partner may rely on this Agreement to mislead a bank, supplier, worker, customer, regulator, or other third person.</w:t>
      </w:r>
    </w:p>
    <w:p>
      <w:pPr>
        <w:pStyle w:val="Heading2"/>
        <w:keepNext/>
        <w:spacing w:after="120" w:before="240"/>
      </w:pPr>
      <w:r>
        <w:rPr>
          <w:rFonts w:ascii="Calibri" w:cs="Calibri" w:eastAsia="Calibri" w:hAnsi="Calibri"/>
          <w:b/>
          <w:bCs/>
          <w:color w:val="102B3F"/>
          <w:sz w:val="26"/>
          <w:szCs w:val="26"/>
        </w:rPr>
        <w:t xml:space="preserve">LIABILITY TO THIRD PERSONS</w:t>
      </w:r>
    </w:p>
    <w:p>
      <w:pPr>
        <w:keepLines/>
        <w:spacing w:after="120" w:line="264"/>
        <w:jc w:val="both"/>
      </w:pPr>
      <w:r>
        <w:rPr>
          <w:rFonts w:ascii="Calibri" w:cs="Calibri" w:eastAsia="Calibri" w:hAnsi="Calibri"/>
          <w:sz w:val="22"/>
          <w:szCs w:val="22"/>
        </w:rPr>
        <w:t xml:space="preserve">Each Partner acknowledges that, under Articles 1816 and 1817 of the Civil Code, all partners, including industrial partners, are liable pro rata with all their separate property for partnership contracts after all partnership assets are exhausted, and that this liability cannot be limited as against third persons. Any agreement among the Partners on sharing that liability binds only the Partners among themselves.</w:t>
      </w:r>
    </w:p>
    <w:p>
      <w:pPr>
        <w:pStyle w:val="Heading2"/>
        <w:keepNext/>
        <w:spacing w:after="120" w:before="240"/>
      </w:pPr>
      <w:r>
        <w:rPr>
          <w:rFonts w:ascii="Calibri" w:cs="Calibri" w:eastAsia="Calibri" w:hAnsi="Calibri"/>
          <w:b/>
          <w:bCs/>
          <w:color w:val="102B3F"/>
          <w:sz w:val="26"/>
          <w:szCs w:val="26"/>
        </w:rPr>
        <w:t xml:space="preserve">DUTIES, CONFIDENTIALITY, AND INTELLECTUAL PROPERTY</w:t>
      </w:r>
    </w:p>
    <w:p>
      <w:pPr>
        <w:keepLines/>
        <w:spacing w:after="120" w:line="264"/>
        <w:jc w:val="both"/>
      </w:pPr>
      <w:r>
        <w:rPr>
          <w:rFonts w:ascii="Calibri" w:cs="Calibri" w:eastAsia="Calibri" w:hAnsi="Calibri"/>
          <w:sz w:val="22"/>
          <w:szCs w:val="22"/>
        </w:rPr>
        <w:t xml:space="preserve">Partner duties: Each partner devotes the agreed professional time, performs assigned client and operational work competently, complies with law and policy, protects partnership opportunities and property, reports material risks, and keeps accurate time and expense records.</w:t>
      </w:r>
    </w:p>
    <w:p>
      <w:pPr>
        <w:keepLines/>
        <w:spacing w:after="120" w:line="264"/>
        <w:jc w:val="both"/>
      </w:pPr>
      <w:r>
        <w:rPr>
          <w:rFonts w:ascii="Calibri" w:cs="Calibri" w:eastAsia="Calibri" w:hAnsi="Calibri"/>
          <w:sz w:val="22"/>
          <w:szCs w:val="22"/>
        </w:rPr>
        <w:t xml:space="preserve">Industrial-partner and competing-business control: No industrial partner may engage in any business for himself or herself (Civil Code Art. 1789), and no capitalist partner may engage for his or her own account in the kind of business of the Partnership (Civil Code Art. 1808), without the unanimous written consent of the other Partners. Any restraint applies only to the extent lawful, proportionate, and necessary to protect a legitimate partnership interest; it does not waive competition, labor, professional, or public-policy rules.</w:t>
      </w:r>
    </w:p>
    <w:p>
      <w:pPr>
        <w:keepLines/>
        <w:spacing w:after="120" w:line="264"/>
        <w:jc w:val="both"/>
      </w:pPr>
      <w:r>
        <w:rPr>
          <w:rFonts w:ascii="Calibri" w:cs="Calibri" w:eastAsia="Calibri" w:hAnsi="Calibri"/>
          <w:sz w:val="22"/>
          <w:szCs w:val="22"/>
        </w:rPr>
        <w:t xml:space="preserve">Confidentiality: Use non-public client, pricing, financial, security, personnel, and strategy information only for partnership work; apply access controls and secure return or deletion, subject to lawful disclosures, protected reports, due process, and independently public information. Lawful disclosures, protected reports, due process, regulator access, and information already public without breach remain unaffected.</w:t>
      </w:r>
    </w:p>
    <w:p>
      <w:pPr>
        <w:keepLines/>
        <w:spacing w:after="120" w:line="264"/>
        <w:jc w:val="both"/>
      </w:pPr>
      <w:r>
        <w:rPr>
          <w:rFonts w:ascii="Calibri" w:cs="Calibri" w:eastAsia="Calibri" w:hAnsi="Calibri"/>
          <w:sz w:val="22"/>
          <w:szCs w:val="22"/>
        </w:rPr>
        <w:t xml:space="preserve">Partnership and background IP: Client IP follows each accepted client contract; reusable partnership tools and branding created with partnership resources belong to the partnership, while scheduled background IP remains with its owner under the written license needed for operations and exit. Any registrable assignment, license, moral-right consent, source-code transfer, domain transfer, or IPOPHL recordation must be completed separately where required.</w:t>
      </w:r>
    </w:p>
    <w:p>
      <w:pPr>
        <w:pStyle w:val="Heading2"/>
        <w:keepNext/>
        <w:spacing w:after="120" w:before="240"/>
      </w:pPr>
      <w:r>
        <w:rPr>
          <w:rFonts w:ascii="Calibri" w:cs="Calibri" w:eastAsia="Calibri" w:hAnsi="Calibri"/>
          <w:b/>
          <w:bCs/>
          <w:color w:val="102B3F"/>
          <w:sz w:val="26"/>
          <w:szCs w:val="26"/>
        </w:rPr>
        <w:t xml:space="preserve">ADMISSION, TRANSFER, RETIREMENT, AND EXPULSION</w:t>
      </w:r>
    </w:p>
    <w:p>
      <w:pPr>
        <w:keepLines/>
        <w:spacing w:after="120" w:line="264"/>
        <w:jc w:val="both"/>
      </w:pPr>
      <w:r>
        <w:rPr>
          <w:rFonts w:ascii="Calibri" w:cs="Calibri" w:eastAsia="Calibri" w:hAnsi="Calibri"/>
          <w:sz w:val="22"/>
          <w:szCs w:val="22"/>
        </w:rPr>
        <w:t xml:space="preserve">New partners: Admission requires both partners' prior written approval, identity and beneficial-owner checks, agreed contribution and shares, accession to this agreement, amended SEC Articles where required, and completed BIR, bank, permit, and regulator updates. No person becomes a partner by payment, title, public representation, profit receipt, or access alone without the required consent, written instrument, and filing.</w:t>
      </w:r>
    </w:p>
    <w:p>
      <w:pPr>
        <w:keepLines/>
        <w:spacing w:after="120" w:line="264"/>
        <w:jc w:val="both"/>
      </w:pPr>
      <w:r>
        <w:rPr>
          <w:rFonts w:ascii="Calibri" w:cs="Calibri" w:eastAsia="Calibri" w:hAnsi="Calibri"/>
          <w:sz w:val="22"/>
          <w:szCs w:val="22"/>
        </w:rPr>
        <w:t xml:space="preserve">Transfer and charging: No partner may assign, pledge, sell, or encumber an interest without first offering it on the same documented terms to the other partner and obtaining required written consent; an economic assignee receives no management rights absent lawful admission. A transfer of an economic interest does not by itself grant management, information, voting, or partnership-property rights beyond law and an accepted amendment.</w:t>
      </w:r>
    </w:p>
    <w:p>
      <w:pPr>
        <w:keepLines/>
        <w:spacing w:after="120" w:line="264"/>
        <w:jc w:val="both"/>
      </w:pPr>
      <w:r>
        <w:rPr>
          <w:rFonts w:ascii="Calibri" w:cs="Calibri" w:eastAsia="Calibri" w:hAnsi="Calibri"/>
          <w:sz w:val="22"/>
          <w:szCs w:val="22"/>
        </w:rPr>
        <w:t xml:space="preserve">A partner proposing voluntary retirement must give at least 90 days' provable written notice. Retirement dissolves the Partnership by law (Civil Code Arts. 1828 and 1830). A retirement before the end of a fixed term or particular undertaking is a dissolution in contravention of this Agreement, and the retiring partner is liable to the other partners for resulting damages (Civil Code Arts. 1830(2) and 1837). Unfinished obligations, creditors, tax, and required filings remain unaffected.</w:t>
      </w:r>
    </w:p>
    <w:p>
      <w:pPr>
        <w:keepLines/>
        <w:spacing w:after="120" w:line="264"/>
        <w:jc w:val="both"/>
      </w:pPr>
      <w:r>
        <w:rPr>
          <w:rFonts w:ascii="Calibri" w:cs="Calibri" w:eastAsia="Calibri" w:hAnsi="Calibri"/>
          <w:sz w:val="22"/>
          <w:szCs w:val="22"/>
        </w:rPr>
        <w:t xml:space="preserve">Expulsion: Material fraud, theft, willful serious breach, unauthorized competition, repeated nonperformance after cure, loss of required capacity, or conviction materially affecting the business may trigger written charges, evidence access, fifteen days to respond, an impartial meeting, disinterested decision, and documented buyout without forfeiture. Expulsion must be bona fide under an express power, with conflicts controlled and no secret confiscation of capital or earned rights.</w:t>
      </w:r>
    </w:p>
    <w:p>
      <w:pPr>
        <w:pStyle w:val="Heading2"/>
        <w:keepNext/>
        <w:spacing w:after="120" w:before="240"/>
      </w:pPr>
      <w:r>
        <w:rPr>
          <w:rFonts w:ascii="Calibri" w:cs="Calibri" w:eastAsia="Calibri" w:hAnsi="Calibri"/>
          <w:b/>
          <w:bCs/>
          <w:color w:val="102B3F"/>
          <w:sz w:val="26"/>
          <w:szCs w:val="26"/>
        </w:rPr>
        <w:t xml:space="preserve">DISSOLUTION EVENTS, CONTINUATION, AND BUYOUT</w:t>
      </w:r>
    </w:p>
    <w:p>
      <w:pPr>
        <w:keepLines/>
        <w:spacing w:after="120" w:line="264"/>
        <w:jc w:val="both"/>
      </w:pPr>
      <w:r>
        <w:rPr>
          <w:rFonts w:ascii="Calibri" w:cs="Calibri" w:eastAsia="Calibri" w:hAnsi="Calibri"/>
          <w:sz w:val="22"/>
          <w:szCs w:val="22"/>
        </w:rPr>
        <w:t xml:space="preserve">When a partner ceases to be associated with the Partnership because of death, permanent incapacity, retirement, expulsion, insolvency, or civil interdiction (an “Exit Event”), the Partnership is dissolved by law (Civil Code Arts. 1828 and 1830), but the remaining partners may, by unanimous written election made within 30 days after the Exit Event, continue the business without liquidation. The outgoing partner, or the estate, shall then be paid the value of the outgoing partner's interest as of the date of dissolution, determined under the buyout valuation below, less any damages owed for a wrongful dissolution; and the continuing partners shall assume the partnership liabilities and indemnify the outgoing partner or the estate against them (Civil Code Arts. 1837, 1840, and 1841). The continuing partners shall file amended Articles of Partnership with the SEC and update the BIR and other registrations. This clause does not affect the rights of partnership creditors, who remain creditors of the continuing business (Art. 1840).</w:t>
      </w:r>
    </w:p>
    <w:p>
      <w:pPr>
        <w:keepLines/>
        <w:spacing w:after="120" w:line="264"/>
        <w:jc w:val="both"/>
      </w:pPr>
      <w:r>
        <w:rPr>
          <w:rFonts w:ascii="Calibri" w:cs="Calibri" w:eastAsia="Calibri" w:hAnsi="Calibri"/>
          <w:sz w:val="22"/>
          <w:szCs w:val="22"/>
        </w:rPr>
        <w:t xml:space="preserve">Buyout valuation: Value the interest as of the event date using normalized net assets plus a market-supported going-concern value, less documented partner debts; the parties appoint an independent CPA or valuation professional, with a second expert for a material disputed variance.</w:t>
      </w:r>
    </w:p>
    <w:p>
      <w:pPr>
        <w:keepLines/>
        <w:spacing w:after="120" w:line="264"/>
        <w:jc w:val="both"/>
      </w:pPr>
      <w:r>
        <w:rPr>
          <w:rFonts w:ascii="Calibri" w:cs="Calibri" w:eastAsia="Calibri" w:hAnsi="Calibri"/>
          <w:sz w:val="22"/>
          <w:szCs w:val="22"/>
        </w:rPr>
        <w:t xml:space="preserve">Buyout payment: Pay twenty percent at closing and the balance in twelve equal monthly installments with lawful written interest, subject to setoff only for finally agreed or adjudicated amounts and commercially reasonable security. Funding: No insurance is presently assumed; both partners will obtain and verify quotations before treating life or disability insurance as funding and will record ownership, beneficiary, exclusions, and proceeds separately. No policy proceeds are assumed unless the policy, owner, insured, beneficiary, amount, exclusions, and current status are verified.</w:t>
      </w:r>
    </w:p>
    <w:p>
      <w:pPr>
        <w:pStyle w:val="Heading2"/>
        <w:keepNext/>
        <w:spacing w:after="120" w:before="240"/>
      </w:pPr>
      <w:r>
        <w:rPr>
          <w:rFonts w:ascii="Calibri" w:cs="Calibri" w:eastAsia="Calibri" w:hAnsi="Calibri"/>
          <w:b/>
          <w:bCs/>
          <w:color w:val="102B3F"/>
          <w:sz w:val="26"/>
          <w:szCs w:val="26"/>
        </w:rPr>
        <w:t xml:space="preserve">DISSOLUTION AND WINDING UP</w:t>
      </w:r>
    </w:p>
    <w:p>
      <w:pPr>
        <w:keepLines/>
        <w:spacing w:after="120" w:line="264"/>
        <w:jc w:val="both"/>
      </w:pPr>
      <w:r>
        <w:rPr>
          <w:rFonts w:ascii="Calibri" w:cs="Calibri" w:eastAsia="Calibri" w:hAnsi="Calibri"/>
          <w:sz w:val="22"/>
          <w:szCs w:val="22"/>
        </w:rPr>
        <w:t xml:space="preserve">Dissolution events: Expiry of the fixed term; unanimous written decision; illegality; an uncured event making continuation impracticable; death or incapacity when continuation is not elected; insolvency; court decree; or another dissolution event imposed by the Civil Code. Statutory dissolution and judicial remedies remain available and cannot be eliminated by private wording. Dissolution changes the partners' relationship but does not terminate the Partnership until winding up is completed.</w:t>
      </w:r>
    </w:p>
    <w:p>
      <w:pPr>
        <w:keepLines/>
        <w:spacing w:after="120" w:line="264"/>
        <w:jc w:val="both"/>
      </w:pPr>
      <w:r>
        <w:rPr>
          <w:rFonts w:ascii="Calibri" w:cs="Calibri" w:eastAsia="Calibri" w:hAnsi="Calibri"/>
          <w:sz w:val="22"/>
          <w:szCs w:val="22"/>
        </w:rPr>
        <w:t xml:space="preserve">The two partners jointly, or an independent accountant appointed unanimously if a conflict prevents joint action will coordinate winding up under this procedure: Give notices, stop new business except necessary completion, preserve records and assets, collect receivables, complete or lawfully terminate contracts, settle workers and customers, reserve disputed claims, pay creditors in lawful priority, close tax and permit accounts, file SEC/BIR/LGU documents, render final accounts, and distribute only the verified surplus.</w:t>
      </w:r>
    </w:p>
    <w:p>
      <w:pPr>
        <w:keepLines/>
        <w:spacing w:after="120" w:line="264"/>
        <w:jc w:val="both"/>
      </w:pPr>
      <w:r>
        <w:rPr>
          <w:rFonts w:ascii="Calibri" w:cs="Calibri" w:eastAsia="Calibri" w:hAnsi="Calibri"/>
          <w:sz w:val="22"/>
          <w:szCs w:val="22"/>
        </w:rPr>
        <w:t xml:space="preserve">Subject to mandatory law and valid security, winding-up assets are applied to creditors other than partners; then partner advances or non-capital claims; then capital; then profits or surplus. Required partner contributions, reserves, notices, records, tax returns, registrations, employee/customer obligations, and SEC/BIR/LGU closure or amendment filings must be completed before final distribution.</w:t>
      </w:r>
    </w:p>
    <w:p>
      <w:pPr>
        <w:pStyle w:val="Heading2"/>
        <w:keepNext/>
        <w:spacing w:after="120" w:before="240"/>
      </w:pPr>
      <w:r>
        <w:rPr>
          <w:rFonts w:ascii="Calibri" w:cs="Calibri" w:eastAsia="Calibri" w:hAnsi="Calibri"/>
          <w:b/>
          <w:bCs/>
          <w:color w:val="102B3F"/>
          <w:sz w:val="26"/>
          <w:szCs w:val="26"/>
        </w:rPr>
        <w:t xml:space="preserve">DISPUTES, NOTICES, AMENDMENTS, AND GENERAL TERMS</w:t>
      </w:r>
    </w:p>
    <w:p>
      <w:pPr>
        <w:keepLines/>
        <w:spacing w:after="120" w:line="264"/>
        <w:jc w:val="both"/>
      </w:pPr>
      <w:r>
        <w:rPr>
          <w:rFonts w:ascii="Calibri" w:cs="Calibri" w:eastAsia="Calibri" w:hAnsi="Calibri"/>
          <w:sz w:val="22"/>
          <w:szCs w:val="22"/>
        </w:rPr>
        <w:t xml:space="preserve">Any dispute among the Partners, or between a Partner and the Partnership, arising from this Agreement or the partnership relation shall be handled as follows. (a) The Partner raising the dispute gives the others written notice describing it and the relief sought. (b) The Partners concerned meet and negotiate in good faith for 30 days after the notice. (c) If the dispute is not settled, they shall try mediation before a mediator they appoint jointly in writing; if no mediator is appointed within fifteen days, or the dispute is not settled within thirty days after the appointment, any of them may go to court. (d) Any court action shall be filed exclusively in the Regional Trial Court with jurisdiction over the Partnership's principal office in Pasig City, Metro Manila, to the exclusion of all other courts, as Rule 1, Section 5 of the Interim Rules of Procedure for Intra-Corporate Controversies requires. These steps do not prevent a Partner from seeking urgent provisional relief or from filing within a prescriptive period.</w:t>
      </w:r>
    </w:p>
    <w:p>
      <w:pPr>
        <w:keepLines/>
        <w:spacing w:after="120" w:line="264"/>
        <w:jc w:val="both"/>
      </w:pPr>
      <w:r>
        <w:rPr>
          <w:rFonts w:ascii="Calibri" w:cs="Calibri" w:eastAsia="Calibri" w:hAnsi="Calibri"/>
          <w:sz w:val="22"/>
          <w:szCs w:val="22"/>
        </w:rPr>
        <w:t xml:space="preserve">Notices: Notice goes to each partner's stated physical address, verified email, and secure messaging account; actual receipt controls when proven, otherwise delivery is effective under the agreed courier and email evidence after reasonable failed-delivery follow-up. Amendments: Only a written instrument signed by all partners and filed or recorded where legally required may amend this agreement.</w:t>
      </w:r>
    </w:p>
    <w:p>
      <w:pPr>
        <w:keepLines/>
        <w:spacing w:after="120" w:line="264"/>
        <w:jc w:val="both"/>
      </w:pPr>
      <w:r>
        <w:rPr>
          <w:rFonts w:ascii="Calibri" w:cs="Calibri" w:eastAsia="Calibri" w:hAnsi="Calibri"/>
          <w:sz w:val="22"/>
          <w:szCs w:val="22"/>
        </w:rPr>
        <w:t xml:space="preserve">This Agreement and its signed schedules are the entire internal agreement on the stated subject. Invalid wording is severed only to the extent lawful without rewriting a core bargain. Waiver must be specific and written. Philippine law governs, without displacing mandatory third-person, tax, labor, privacy, competition, professional, ownership, licensing, insolvency, or public-policy rules.</w:t>
      </w:r>
    </w:p>
    <w:p>
      <w:pPr>
        <w:keepLines/>
        <w:spacing w:after="120" w:line="264"/>
        <w:jc w:val="both"/>
      </w:pPr>
      <w:r>
        <w:rPr>
          <w:rFonts w:ascii="Calibri" w:cs="Calibri" w:eastAsia="Calibri" w:hAnsi="Calibri"/>
          <w:sz w:val="22"/>
          <w:szCs w:val="22"/>
        </w:rPr>
        <w:t xml:space="preserve">Office-use basis: Two-year commercial sublease signed by the property lessee with written lessor consent, subject to current LGU location and occupancy requirements. SEC name status: reserved or approved in the current SEC system. Registration plan: the Partners will complete the SEC and BIR steps before operations.</w:t>
      </w:r>
    </w:p>
    <w:p>
      <w:pPr>
        <w:keepNext/>
        <w:spacing w:after="260" w:before="360"/>
      </w:pPr>
      <w:r>
        <w:rPr>
          <w:rFonts w:ascii="Calibri" w:cs="Calibri" w:eastAsia="Calibri" w:hAnsi="Calibri"/>
          <w:b/>
          <w:bCs/>
          <w:sz w:val="22"/>
          <w:szCs w:val="22"/>
        </w:rPr>
        <w:t xml:space="preserve">IN WITNESS WHEREOF, each Partner signs the complete Agreement and every incorporated schedule through the accepted process: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PARTNER 1</w:t>
            </w:r>
          </w:p>
          <w:p>
            <w:pPr>
              <w:spacing w:after="120"/>
            </w:pPr>
            <w:r>
              <w:rPr>
                <w:rFonts w:ascii="Calibri" w:cs="Calibri" w:eastAsia="Calibri" w:hAnsi="Calibri"/>
                <w:sz w:val="22"/>
                <w:szCs w:val="22"/>
              </w:rPr>
              <w:t xml:space="preserve">Maria Elena Santos</w:t>
            </w:r>
          </w:p>
          <w:p>
            <w:pPr>
              <w:spacing w:after="120"/>
            </w:pPr>
            <w:r>
              <w:rPr>
                <w:rFonts w:ascii="Calibri" w:cs="Calibri" w:eastAsia="Calibri" w:hAnsi="Calibri"/>
                <w:sz w:val="22"/>
                <w:szCs w:val="22"/>
              </w:rPr>
              <w:t xml:space="preserve">Filipino · Married; contribution is verified separate property · Signature over printed name and date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PARTNER 2</w:t>
            </w:r>
          </w:p>
          <w:p>
            <w:pPr>
              <w:spacing w:after="120"/>
            </w:pPr>
            <w:r>
              <w:rPr>
                <w:rFonts w:ascii="Calibri" w:cs="Calibri" w:eastAsia="Calibri" w:hAnsi="Calibri"/>
                <w:sz w:val="22"/>
                <w:szCs w:val="22"/>
              </w:rPr>
              <w:t xml:space="preserve">Ana Lucia Reyes</w:t>
            </w:r>
          </w:p>
          <w:p>
            <w:pPr>
              <w:spacing w:after="120"/>
            </w:pPr>
            <w:r>
              <w:rPr>
                <w:rFonts w:ascii="Calibri" w:cs="Calibri" w:eastAsia="Calibri" w:hAnsi="Calibri"/>
                <w:sz w:val="22"/>
                <w:szCs w:val="22"/>
              </w:rPr>
              <w:t xml:space="preserve">Filipino · Single · Signature over printed name and date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PASIG CITY ) S.S.</w:t>
      </w:r>
    </w:p>
    <w:p>
      <w:pPr>
        <w:keepLines/>
        <w:spacing w:after="120" w:line="264"/>
        <w:jc w:val="both"/>
      </w:pPr>
      <w:r>
        <w:rPr>
          <w:rFonts w:ascii="Calibri" w:cs="Calibri" w:eastAsia="Calibri" w:hAnsi="Calibri"/>
          <w:sz w:val="22"/>
          <w:szCs w:val="22"/>
        </w:rPr>
        <w:t xml:space="preserve">BEFORE ME, a Notary Public for and in Pasig City, Philippines, this ____ day of ______________ 20__, personally appeared:</w:t>
      </w:r>
    </w:p>
    <w:p>
      <w:pPr>
        <w:keepLines/>
        <w:spacing w:after="120" w:line="264"/>
        <w:jc w:val="both"/>
      </w:pPr>
      <w:r>
        <w:rPr>
          <w:rFonts w:ascii="Calibri" w:cs="Calibri" w:eastAsia="Calibri" w:hAnsi="Calibri"/>
          <w:sz w:val="22"/>
          <w:szCs w:val="22"/>
        </w:rPr>
        <w:t xml:space="preserve">1. Maria Elena Santos — competent evidence of identity: ______________; date and place issued: ______________</w:t>
      </w:r>
    </w:p>
    <w:p>
      <w:pPr>
        <w:keepLines/>
        <w:spacing w:after="120" w:line="264"/>
        <w:jc w:val="both"/>
      </w:pPr>
      <w:r>
        <w:rPr>
          <w:rFonts w:ascii="Calibri" w:cs="Calibri" w:eastAsia="Calibri" w:hAnsi="Calibri"/>
          <w:sz w:val="22"/>
          <w:szCs w:val="22"/>
        </w:rPr>
        <w:t xml:space="preserve">2. Ana Lucia Reyes — competent evidence of identity: ______________; date and place issued: ______________</w:t>
      </w:r>
    </w:p>
    <w:p>
      <w:pPr>
        <w:keepLines/>
        <w:spacing w:after="120" w:line="264"/>
        <w:jc w:val="both"/>
      </w:pPr>
      <w:r>
        <w:rPr>
          <w:rFonts w:ascii="Calibri" w:cs="Calibri" w:eastAsia="Calibri" w:hAnsi="Calibri"/>
          <w:sz w:val="22"/>
          <w:szCs w:val="22"/>
        </w:rPr>
        <w:t xml:space="preserve">known to me and to me known to be the same persons who executed the foregoing Partnership Agreement, consisting of ____ (__) pages, including the page on which this acknowledgment is written, signed by the Partners on each and every page thereof, and who acknowledged to me that the same is their free and voluntary act and deed.</w:t>
      </w:r>
    </w:p>
    <w:p>
      <w:pPr>
        <w:keepLines/>
        <w:spacing w:after="120" w:line="264"/>
        <w:jc w:val="both"/>
      </w:pPr>
      <w:r>
        <w:rPr>
          <w:rFonts w:ascii="Calibri" w:cs="Calibri" w:eastAsia="Calibri" w:hAnsi="Calibri"/>
          <w:sz w:val="22"/>
          <w:szCs w:val="22"/>
        </w:rPr>
        <w:t xml:space="preserve">WITNESS MY HAND AND NOTARIAL SEAL on the date and at the place first written above.</w:t>
      </w:r>
    </w:p>
    <w:p>
      <w:pPr>
        <w:keepLines/>
        <w:spacing w:after="120" w:line="264"/>
        <w:jc w:val="both"/>
      </w:pPr>
      <w:r>
        <w:rPr>
          <w:rFonts w:ascii="Calibri" w:cs="Calibri" w:eastAsia="Calibri" w:hAnsi="Calibri"/>
          <w:sz w:val="22"/>
          <w:szCs w:val="22"/>
        </w:rPr>
        <w:t xml:space="preserve">NOTARY PUBLIC
Notarial Commission No.: ______________ valid until ______________
Roll of Attorneys No.: ______________
PTR No.: ______________ / date and place: ______________
IBP No.: ______________ / date and chapter: ______________
Office address: 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Recheck the live SEC eSPARC partnership route, current name status, documentary requirements, fees, processing method, hard-copy/electronic authentication requirements, beneficial-ownership and contact filings, and sector endorsements immediately before submission.</w:t>
      </w:r>
    </w:p>
    <w:p>
      <w:pPr>
        <w:pStyle w:val="ListParagraph"/>
        <w:keepNext/>
        <w:numPr>
          <w:ilvl w:val="0"/>
          <w:numId w:val="1"/>
        </w:numPr>
        <w:spacing w:after="120" w:line="264"/>
      </w:pPr>
      <w:r>
        <w:rPr>
          <w:rFonts w:ascii="Calibri" w:cs="Calibri" w:eastAsia="Calibri" w:hAnsi="Calibri"/>
          <w:sz w:val="22"/>
          <w:szCs w:val="22"/>
        </w:rPr>
        <w:t xml:space="preserve">Reconcile this agreement with the current SEC Articles of Partnership. Do not assume this internal agreement is the SEC's prescribed or accepted filing form.</w:t>
      </w:r>
    </w:p>
    <w:p>
      <w:pPr>
        <w:pStyle w:val="ListParagraph"/>
        <w:keepNext/>
        <w:numPr>
          <w:ilvl w:val="0"/>
          <w:numId w:val="1"/>
        </w:numPr>
        <w:spacing w:after="120" w:line="264"/>
      </w:pPr>
      <w:r>
        <w:rPr>
          <w:rFonts w:ascii="Calibri" w:cs="Calibri" w:eastAsia="Calibri" w:hAnsi="Calibri"/>
          <w:sz w:val="22"/>
          <w:szCs w:val="22"/>
        </w:rPr>
        <w:t xml:space="preserve">Capital is ₱400,000.00: complete the Civil Code public-instrument and SEC-recording route; do not rely on private signatures alone.</w:t>
      </w:r>
    </w:p>
    <w:p>
      <w:pPr>
        <w:pStyle w:val="ListParagraph"/>
        <w:keepNext/>
        <w:numPr>
          <w:ilvl w:val="0"/>
          <w:numId w:val="1"/>
        </w:numPr>
        <w:spacing w:after="120" w:line="264"/>
      </w:pPr>
      <w:r>
        <w:rPr>
          <w:rFonts w:ascii="Calibri" w:cs="Calibri" w:eastAsia="Calibri" w:hAnsi="Calibri"/>
          <w:sz w:val="22"/>
          <w:szCs w:val="22"/>
        </w:rPr>
        <w:t xml:space="preserve">If any land, building, leasehold real right, usufruct, or other immovable interest is later contributed, stop and rebuild the formality route before transfer.</w:t>
      </w:r>
    </w:p>
    <w:p>
      <w:pPr>
        <w:pStyle w:val="ListParagraph"/>
        <w:keepNext/>
        <w:numPr>
          <w:ilvl w:val="0"/>
          <w:numId w:val="1"/>
        </w:numPr>
        <w:spacing w:after="120" w:line="264"/>
      </w:pPr>
      <w:r>
        <w:rPr>
          <w:rFonts w:ascii="Calibri" w:cs="Calibri" w:eastAsia="Calibri" w:hAnsi="Calibri"/>
          <w:sz w:val="22"/>
          <w:szCs w:val="22"/>
        </w:rPr>
        <w:t xml:space="preserve">If a foreign citizen, entity, beneficial owner, nominee, lender with control, or economic participant is later introduced, recheck nationality restrictions before admission.</w:t>
      </w:r>
    </w:p>
    <w:p>
      <w:pPr>
        <w:pStyle w:val="ListParagraph"/>
        <w:keepNext/>
        <w:numPr>
          <w:ilvl w:val="0"/>
          <w:numId w:val="1"/>
        </w:numPr>
        <w:spacing w:after="120" w:line="264"/>
      </w:pPr>
      <w:r>
        <w:rPr>
          <w:rFonts w:ascii="Calibri" w:cs="Calibri" w:eastAsia="Calibri" w:hAnsi="Calibri"/>
          <w:sz w:val="22"/>
          <w:szCs w:val="22"/>
        </w:rPr>
        <w:t xml:space="preserve">Complete current BIR registration through the accepted ORUS/manual/PBH route as applicable, using the current Form 1903 requirements, SEC Certificate of Recording, Articles, tax-type questionnaire, invoicing, books, withholding, and registration evidence.</w:t>
      </w:r>
    </w:p>
    <w:p>
      <w:pPr>
        <w:pStyle w:val="ListParagraph"/>
        <w:keepNext/>
        <w:numPr>
          <w:ilvl w:val="0"/>
          <w:numId w:val="1"/>
        </w:numPr>
        <w:spacing w:after="120" w:line="264"/>
      </w:pPr>
      <w:r>
        <w:rPr>
          <w:rFonts w:ascii="Calibri" w:cs="Calibri" w:eastAsia="Calibri" w:hAnsi="Calibri"/>
          <w:sz w:val="22"/>
          <w:szCs w:val="22"/>
        </w:rPr>
        <w:t xml:space="preserve">Secure the barangay, mayor's/business permit, location, fire, sanitary, employer, SSS, PhilHealth, Pag-IBIG, data-privacy, professional, sector, and other permits actually required before the relevant activity begins.</w:t>
      </w:r>
    </w:p>
    <w:p>
      <w:pPr>
        <w:pStyle w:val="ListParagraph"/>
        <w:keepNext/>
        <w:numPr>
          <w:ilvl w:val="0"/>
          <w:numId w:val="1"/>
        </w:numPr>
        <w:spacing w:after="120" w:line="264"/>
      </w:pPr>
      <w:r>
        <w:rPr>
          <w:rFonts w:ascii="Calibri" w:cs="Calibri" w:eastAsia="Calibri" w:hAnsi="Calibri"/>
          <w:sz w:val="22"/>
          <w:szCs w:val="22"/>
        </w:rPr>
        <w:t xml:space="preserve">Open and operate partnership bank and accounting records in the recorded name only after accepted identity, authority, tax, and bank onboarding; never commingle undisclosed personal funds.</w:t>
      </w:r>
    </w:p>
    <w:p>
      <w:pPr>
        <w:pStyle w:val="ListParagraph"/>
        <w:keepNext/>
        <w:numPr>
          <w:ilvl w:val="0"/>
          <w:numId w:val="1"/>
        </w:numPr>
        <w:spacing w:after="120" w:line="264"/>
      </w:pPr>
      <w:r>
        <w:rPr>
          <w:rFonts w:ascii="Calibri" w:cs="Calibri" w:eastAsia="Calibri" w:hAnsi="Calibri"/>
          <w:sz w:val="22"/>
          <w:szCs w:val="22"/>
        </w:rPr>
        <w:t xml:space="preserve">Attach contribution, valuation, lien, spouse/owner consent, IP, authority, reserved-matter, contact, and beneficial-ownership schedules truthfully; minimize TIN and ID copies and send them only through verified secure channels.</w:t>
      </w:r>
    </w:p>
    <w:p>
      <w:pPr>
        <w:pStyle w:val="ListParagraph"/>
        <w:keepNext w:val="false"/>
        <w:numPr>
          <w:ilvl w:val="0"/>
          <w:numId w:val="1"/>
        </w:numPr>
        <w:spacing w:after="120" w:line="264"/>
      </w:pPr>
      <w:r>
        <w:rPr>
          <w:rFonts w:ascii="Calibri" w:cs="Calibri" w:eastAsia="Calibri" w:hAnsi="Calibri"/>
          <w:sz w:val="22"/>
          <w:szCs w:val="22"/>
        </w:rPr>
        <w:t xml:space="preserve">Give the complete version and schedules to every partner before signing. Obtain independent Philippine business, tax, and accounting review for any specialist fact, substantial capital, unequal allocation, industrial partner, property/IP contribution, foreign interest, regulated activity, or disputed exit.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Engineering draft · independent Philippine business-lawyer review pending | Last legal check 2026-10-01 | Next review due 2026-12-31</w:t>
      </w:r>
    </w:p>
    <w:p>
      <w:pPr>
        <w:keepNext/>
        <w:spacing w:after="60" w:before="100"/>
      </w:pPr>
      <w:r>
        <w:rPr>
          <w:rFonts w:ascii="Calibri" w:cs="Calibri" w:eastAsia="Calibri" w:hAnsi="Calibri"/>
          <w:b/>
          <w:bCs/>
          <w:sz w:val="18"/>
          <w:szCs w:val="18"/>
        </w:rPr>
        <w:t xml:space="preserve">Republic Act No. 386 — Civil Code, Title IX on Partnership - Articles 1767–1867 — formation, form (1771–1773), universal partnerships and the Art. 1782 bar, contributions, profits and losses, competing business (1789, 1808), management, authority, third-person liability (1816–1818), dissolution and continuation (1828–1841), and limited partnerships (1843–1867: sworn certificate under Art. 1844, cash-or-property contributions under Art. 1845, name rule under Art. 1846, control under Art. 1848, return of contributions under Art. 1857, continuation under Art. 1860) (checked 2026-10-01)</w:t>
      </w:r>
    </w:p>
    <w:p>
      <w:pPr>
        <w:spacing w:after="120"/>
      </w:pPr>
      <w:hyperlink w:history="1" r:id="rIdw_-qyfqcbo6ojfkpovyr5">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Interim Rules of Procedure for Intra-Corporate Controversies, A.M. No. 01-2-04-SC - Rule 1, Sec. 1(a) (controversies arising out of partnership relations) and Sec. 5 (venue in the Regional Trial Court with jurisdiction over the principal office) (checked 2026-10-01)</w:t>
      </w:r>
    </w:p>
    <w:p>
      <w:pPr>
        <w:spacing w:after="120"/>
      </w:pPr>
      <w:hyperlink w:history="1" r:id="rId99_nyjvn3p_mwoztldvcy">
        <w:r>
          <w:rPr>
            <w:rFonts w:ascii="Calibri" w:cs="Calibri" w:eastAsia="Calibri" w:hAnsi="Calibri"/>
            <w:color w:val="315B75"/>
            <w:sz w:val="17"/>
            <w:szCs w:val="17"/>
            <w:u w:val="single"/>
          </w:rPr>
          <w:t xml:space="preserve">https://lawphil.net/courts/supreme/am/am_2_04_2001.html</w:t>
        </w:r>
      </w:hyperlink>
    </w:p>
    <w:p>
      <w:pPr>
        <w:keepNext/>
        <w:spacing w:after="60" w:before="100"/>
      </w:pPr>
      <w:r>
        <w:rPr>
          <w:rFonts w:ascii="Calibri" w:cs="Calibri" w:eastAsia="Calibri" w:hAnsi="Calibri"/>
          <w:b/>
          <w:bCs/>
          <w:sz w:val="18"/>
          <w:szCs w:val="18"/>
        </w:rPr>
        <w:t xml:space="preserve">SEC eSPARC — Current Regular Processing - Current availability of general, professional, and limited partnership recording and current processing directions (checked 2026-08-30)</w:t>
      </w:r>
    </w:p>
    <w:p>
      <w:pPr>
        <w:spacing w:after="120"/>
      </w:pPr>
      <w:hyperlink w:history="1" r:id="rIdn9rgmfz3b2hwewoqk_rr9">
        <w:r>
          <w:rPr>
            <w:rFonts w:ascii="Calibri" w:cs="Calibri" w:eastAsia="Calibri" w:hAnsi="Calibri"/>
            <w:color w:val="315B75"/>
            <w:sz w:val="17"/>
            <w:szCs w:val="17"/>
            <w:u w:val="single"/>
          </w:rPr>
          <w:t xml:space="preserve">https://esparc.sec.gov.ph/application/select-regular</w:t>
        </w:r>
      </w:hyperlink>
    </w:p>
    <w:p>
      <w:pPr>
        <w:keepNext/>
        <w:spacing w:after="60" w:before="100"/>
      </w:pPr>
      <w:r>
        <w:rPr>
          <w:rFonts w:ascii="Calibri" w:cs="Calibri" w:eastAsia="Calibri" w:hAnsi="Calibri"/>
          <w:b/>
          <w:bCs/>
          <w:sz w:val="18"/>
          <w:szCs w:val="18"/>
        </w:rPr>
        <w:t xml:space="preserve">SEC Processing of Applications for Partnerships - Articles of Partnership, name, TIN, filing, recording, sector clearance, and current SEC application requirements (checked 2026-08-30)</w:t>
      </w:r>
    </w:p>
    <w:p>
      <w:pPr>
        <w:spacing w:after="120"/>
      </w:pPr>
      <w:hyperlink w:history="1" r:id="rIdzfvtvexlmtrkiwghrp3zn">
        <w:r>
          <w:rPr>
            <w:rFonts w:ascii="Calibri" w:cs="Calibri" w:eastAsia="Calibri" w:hAnsi="Calibri"/>
            <w:color w:val="315B75"/>
            <w:sz w:val="17"/>
            <w:szCs w:val="17"/>
            <w:u w:val="single"/>
          </w:rPr>
          <w:t xml:space="preserve">https://appointment.sec.gov.ph/company/primary-registration-2/processing-of-applications-for-partnerships/</w:t>
        </w:r>
      </w:hyperlink>
    </w:p>
    <w:p>
      <w:pPr>
        <w:keepNext/>
        <w:spacing w:after="60" w:before="100"/>
      </w:pPr>
      <w:r>
        <w:rPr>
          <w:rFonts w:ascii="Calibri" w:cs="Calibri" w:eastAsia="Calibri" w:hAnsi="Calibri"/>
          <w:b/>
          <w:bCs/>
          <w:sz w:val="18"/>
          <w:szCs w:val="18"/>
        </w:rPr>
        <w:t xml:space="preserve">BIR Checklist of Documentary Requirements — Revised July 2025 - Partnership BIR Form 1903/ORUS registration, SEC Certificate of Recording, Articles of Partnership, invoicing, and current documentary requirements (checked 2026-08-30)</w:t>
      </w:r>
    </w:p>
    <w:p>
      <w:pPr>
        <w:spacing w:after="120"/>
      </w:pPr>
      <w:hyperlink w:history="1" r:id="rIdvutb_gv8k1fv3wtjieya1">
        <w:r>
          <w:rPr>
            <w:rFonts w:ascii="Calibri" w:cs="Calibri" w:eastAsia="Calibri" w:hAnsi="Calibri"/>
            <w:color w:val="315B75"/>
            <w:sz w:val="17"/>
            <w:szCs w:val="17"/>
            <w:u w:val="single"/>
          </w:rPr>
          <w:t xml:space="preserve">https://bir-cdn.bir.gov.ph/BIR/pdf/CDR%20-%202025%20(1).pdf</w:t>
        </w:r>
      </w:hyperlink>
    </w:p>
    <w:p>
      <w:pPr>
        <w:keepNext/>
        <w:spacing w:after="60" w:before="100"/>
      </w:pPr>
      <w:r>
        <w:rPr>
          <w:rFonts w:ascii="Calibri" w:cs="Calibri" w:eastAsia="Calibri" w:hAnsi="Calibri"/>
          <w:b/>
          <w:bCs/>
          <w:sz w:val="18"/>
          <w:szCs w:val="18"/>
        </w:rPr>
        <w:t xml:space="preserve">Executive Order No. 209 — Family Code - Property-regime administration, disposition, and consent issues where a partner contributes community or conjugal property (checked 2026-08-30)</w:t>
      </w:r>
    </w:p>
    <w:p>
      <w:pPr>
        <w:spacing w:after="120"/>
      </w:pPr>
      <w:hyperlink w:history="1" r:id="rId4bvvopkdvbzty9ux4n5tp">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Republic Act No. 11647 — Foreign Investments Act amendments - Foreign participation remains subject to constitutional, statutory, and current negative-list restrictions (checked 2026-08-30)</w:t>
      </w:r>
    </w:p>
    <w:p>
      <w:pPr>
        <w:spacing w:after="120"/>
      </w:pPr>
      <w:hyperlink w:history="1" r:id="rIdzhcr3-aqunv4pysvg4wam">
        <w:r>
          <w:rPr>
            <w:rFonts w:ascii="Calibri" w:cs="Calibri" w:eastAsia="Calibri" w:hAnsi="Calibri"/>
            <w:color w:val="315B75"/>
            <w:sz w:val="17"/>
            <w:szCs w:val="17"/>
            <w:u w:val="single"/>
          </w:rPr>
          <w:t xml:space="preserve">https://lawphil.net/statutes/repacts/ra2022/ra_11647_2022.html</w:t>
        </w:r>
      </w:hyperlink>
    </w:p>
    <w:p>
      <w:pPr>
        <w:keepNext/>
        <w:spacing w:after="60" w:before="100"/>
      </w:pPr>
      <w:r>
        <w:rPr>
          <w:rFonts w:ascii="Calibri" w:cs="Calibri" w:eastAsia="Calibri" w:hAnsi="Calibri"/>
          <w:b/>
          <w:bCs/>
          <w:sz w:val="18"/>
          <w:szCs w:val="18"/>
        </w:rPr>
        <w:t xml:space="preserve">Republic Act No. 8293 — Intellectual Property Code - Ownership, assignment, licensing, moral rights, trademarks, patents, and copyright in contributed or partnership-created IP (checked 2026-08-30)</w:t>
      </w:r>
    </w:p>
    <w:p>
      <w:pPr>
        <w:spacing w:after="120"/>
      </w:pPr>
      <w:hyperlink w:history="1" r:id="rId53clximyif4k2nwgahr7i">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2004 Rules on Notarial Practice, A.M. No. 02-8-13-SC, as amended by the Supreme Court Resolution of March 4, 2025 - Rule II, Secs. 1 (acknowledgment) and 6 (jurat); Rule VIII, Sec. 2 (contents of the notarial certificate); 2025 amendments on digitized notarial records (base text: https://sc.judiciary.gov.ph/wp-content/uploads/2022/08/02-08-13-SC-1.pdf) (checked 2026-10-01)</w:t>
      </w:r>
    </w:p>
    <w:p>
      <w:pPr>
        <w:spacing w:after="120"/>
      </w:pPr>
      <w:hyperlink w:history="1" r:id="rIdapvwrtcseavo3i-lyd5dz">
        <w:r>
          <w:rPr>
            <w:rFonts w:ascii="Calibri" w:cs="Calibri" w:eastAsia="Calibri" w:hAnsi="Calibri"/>
            <w:color w:val="315B75"/>
            <w:sz w:val="17"/>
            <w:szCs w:val="17"/>
            <w:u w:val="single"/>
          </w:rPr>
          <w:t xml:space="preserve">https://sc.judiciary.gov.ph/wp-content/uploads/2025/06/Amended-2004-Notarial-Rules.pdf</w:t>
        </w:r>
      </w:hyperlink>
    </w:p>
    <w:p>
      <w:pPr>
        <w:keepNext/>
        <w:spacing w:after="60" w:before="100"/>
      </w:pPr>
      <w:r>
        <w:rPr>
          <w:rFonts w:ascii="Calibri" w:cs="Calibri" w:eastAsia="Calibri" w:hAnsi="Calibri"/>
          <w:b/>
          <w:bCs/>
          <w:sz w:val="18"/>
          <w:szCs w:val="18"/>
        </w:rPr>
        <w:t xml:space="preserve">Rules on Electronic Notarization, A.M. No. 24-10-14-SC - Electronic acknowledgment and jurat before an SC-commissioned electronic notary public, available only once electronic notarization launches (announced for 19 October 2026), subject to SEC and recipient acceptance (checked 2026-10-01)</w:t>
      </w:r>
    </w:p>
    <w:p>
      <w:pPr>
        <w:spacing w:after="120"/>
      </w:pPr>
      <w:hyperlink w:history="1" r:id="rIdthxquauhd4twq56nsu0gz">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Republic Act No. 10173 — Data Privacy Act - Transparency, legitimate purpose, proportionality, lawful processing, security, and accountability for partner identity, TIN, financial, beneficial-ownership, and contact records (checked 2026-08-30)</w:t>
      </w:r>
    </w:p>
    <w:p>
      <w:pPr>
        <w:spacing w:after="120"/>
      </w:pPr>
      <w:hyperlink w:history="1" r:id="rId5wcqyboykgdgc7wjtykjq">
        <w:r>
          <w:rPr>
            <w:rFonts w:ascii="Calibri" w:cs="Calibri" w:eastAsia="Calibri" w:hAnsi="Calibri"/>
            <w:color w:val="315B75"/>
            <w:sz w:val="17"/>
            <w:szCs w:val="17"/>
            <w:u w:val="single"/>
          </w:rPr>
          <w:t xml:space="preserve">https://privacy.gov.ph/data-privacy-act/</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qyfqcbo6ojfkpovyr5" Type="http://schemas.openxmlformats.org/officeDocument/2006/relationships/hyperlink" Target="https://lawphil.net/statutes/repacts/ra1949/ra_386_1949.html" TargetMode="External"/><Relationship Id="rId99_nyjvn3p_mwoztldvcy" Type="http://schemas.openxmlformats.org/officeDocument/2006/relationships/hyperlink" Target="https://lawphil.net/courts/supreme/am/am_2_04_2001.html" TargetMode="External"/><Relationship Id="rIdn9rgmfz3b2hwewoqk_rr9" Type="http://schemas.openxmlformats.org/officeDocument/2006/relationships/hyperlink" Target="https://esparc.sec.gov.ph/application/select-regular" TargetMode="External"/><Relationship Id="rIdzfvtvexlmtrkiwghrp3zn" Type="http://schemas.openxmlformats.org/officeDocument/2006/relationships/hyperlink" Target="https://appointment.sec.gov.ph/company/primary-registration-2/processing-of-applications-for-partnerships/" TargetMode="External"/><Relationship Id="rIdvutb_gv8k1fv3wtjieya1" Type="http://schemas.openxmlformats.org/officeDocument/2006/relationships/hyperlink" Target="https://bir-cdn.bir.gov.ph/BIR/pdf/CDR%20-%202025%20(1).pdf" TargetMode="External"/><Relationship Id="rId4bvvopkdvbzty9ux4n5tp" Type="http://schemas.openxmlformats.org/officeDocument/2006/relationships/hyperlink" Target="https://lawphil.net/executive/execord/eo1987/eo_209_1987.html" TargetMode="External"/><Relationship Id="rIdzhcr3-aqunv4pysvg4wam" Type="http://schemas.openxmlformats.org/officeDocument/2006/relationships/hyperlink" Target="https://lawphil.net/statutes/repacts/ra2022/ra_11647_2022.html" TargetMode="External"/><Relationship Id="rId53clximyif4k2nwgahr7i" Type="http://schemas.openxmlformats.org/officeDocument/2006/relationships/hyperlink" Target="https://lawphil.net/statutes/repacts/ra1997/ra_8293_1997.html" TargetMode="External"/><Relationship Id="rIdapvwrtcseavo3i-lyd5dz" Type="http://schemas.openxmlformats.org/officeDocument/2006/relationships/hyperlink" Target="https://sc.judiciary.gov.ph/wp-content/uploads/2025/06/Amended-2004-Notarial-Rules.pdf" TargetMode="External"/><Relationship Id="rIdthxquauhd4twq56nsu0gz" Type="http://schemas.openxmlformats.org/officeDocument/2006/relationships/hyperlink" Target="https://sc.judiciary.gov.ph/24-10-14-sc-rules-on-electronic-notarization/" TargetMode="External"/><Relationship Id="rId5wcqyboykgdgc7wjtykjq" Type="http://schemas.openxmlformats.org/officeDocument/2006/relationships/hyperlink" Target="https://privacy.gov.ph/data-privacy-act/"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Partnership Agreement</dc:title>
  <dc:creator>LAW.PH</dc:creator>
  <dc:description>Free sample of the Partnership Agreement from LAW.PH, with fictional details</dc:description>
  <cp:lastModifiedBy>Un-named</cp:lastModifiedBy>
  <cp:revision>1</cp:revision>
  <dcterms:created xsi:type="dcterms:W3CDTF">2026-10-02T05:29:58.592Z</dcterms:created>
  <dcterms:modified xsi:type="dcterms:W3CDTF">2026-10-02T05:29:58.592Z</dcterms:modified>
</cp:coreProperties>
</file>

<file path=docProps/custom.xml><?xml version="1.0" encoding="utf-8"?>
<Properties xmlns="http://schemas.openxmlformats.org/officeDocument/2006/custom-properties" xmlns:vt="http://schemas.openxmlformats.org/officeDocument/2006/docPropsVTypes"/>
</file>