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PRIVACY NOTICE</w:t>
      </w:r>
    </w:p>
    <w:p>
      <w:pPr>
        <w:spacing w:after="160"/>
        <w:jc w:val="center"/>
      </w:pPr>
      <w:r>
        <w:rPr>
          <w:rFonts w:ascii="Calibri" w:cs="Calibri" w:eastAsia="Calibri" w:hAnsi="Calibri"/>
          <w:color w:val="566674"/>
          <w:sz w:val="18"/>
          <w:szCs w:val="18"/>
        </w:rPr>
        <w:t xml:space="preserve">Republic of the Philippines — Data Privacy Act notice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Independent Philippine privacy-lawyer review pending</w:t>
      </w:r>
    </w:p>
    <w:p>
      <w:pPr>
        <w:keepLines/>
        <w:spacing w:after="120" w:line="264"/>
        <w:jc w:val="both"/>
      </w:pPr>
      <w:r>
        <w:rPr>
          <w:rFonts w:ascii="Calibri" w:cs="Calibri" w:eastAsia="Calibri" w:hAnsi="Calibri"/>
          <w:sz w:val="22"/>
          <w:szCs w:val="22"/>
        </w:rPr>
        <w:t xml:space="preserve">Bayanihan Digital Services, Inc. ("we", "us", or "our") respects your privacy and processes your personal data under the Data Privacy Act of 2012 (Republic Act No. 10173) and its Implementing Rules and Regulations. This notice explains what we collect, why, who receives it, how long we keep it, and what rights you have.</w:t>
      </w:r>
    </w:p>
    <w:p>
      <w:pPr>
        <w:keepLines/>
        <w:spacing w:after="120" w:line="264"/>
        <w:jc w:val="both"/>
      </w:pPr>
      <w:r>
        <w:rPr>
          <w:rFonts w:ascii="Calibri" w:cs="Calibri" w:eastAsia="Calibri" w:hAnsi="Calibri"/>
          <w:sz w:val="22"/>
          <w:szCs w:val="22"/>
        </w:rPr>
        <w:t xml:space="preserve">This notice applies to customers and website visitors. It takes effect on October 1, 2026 (Version 1.0).</w:t>
      </w:r>
    </w:p>
    <w:p>
      <w:pPr>
        <w:pStyle w:val="Heading2"/>
        <w:keepNext/>
        <w:spacing w:after="120" w:before="240"/>
      </w:pPr>
      <w:r>
        <w:rPr>
          <w:rFonts w:ascii="Calibri" w:cs="Calibri" w:eastAsia="Calibri" w:hAnsi="Calibri"/>
          <w:b/>
          <w:bCs/>
          <w:color w:val="102B3F"/>
          <w:sz w:val="26"/>
          <w:szCs w:val="26"/>
        </w:rPr>
        <w:t xml:space="preserve">1. Who we are and how to reach us</w:t>
      </w:r>
    </w:p>
    <w:p>
      <w:pPr>
        <w:keepLines/>
        <w:spacing w:after="120" w:line="264"/>
        <w:jc w:val="both"/>
      </w:pPr>
      <w:r>
        <w:rPr>
          <w:rFonts w:ascii="Calibri" w:cs="Calibri" w:eastAsia="Calibri" w:hAnsi="Calibri"/>
          <w:sz w:val="22"/>
          <w:szCs w:val="22"/>
        </w:rPr>
        <w:t xml:space="preserve">Bayanihan Digital Services, Inc. is the personal information controller. Our address is 18/F One Ayala Tower, Ayala Avenue, Makati City 1226.</w:t>
      </w:r>
    </w:p>
    <w:p>
      <w:pPr>
        <w:keepLines/>
        <w:spacing w:after="120" w:line="264"/>
        <w:jc w:val="both"/>
      </w:pPr>
      <w:r>
        <w:rPr>
          <w:rFonts w:ascii="Calibri" w:cs="Calibri" w:eastAsia="Calibri" w:hAnsi="Calibri"/>
          <w:sz w:val="22"/>
          <w:szCs w:val="22"/>
        </w:rPr>
        <w:t xml:space="preserve">Our Data Protection Officer is Andrea M. Reyes, who can be reached at dpo@bayanihan.example or +63 2 8555 0100.</w:t>
      </w:r>
    </w:p>
    <w:p>
      <w:pPr>
        <w:pStyle w:val="Heading2"/>
        <w:keepNext/>
        <w:spacing w:after="120" w:before="240"/>
      </w:pPr>
      <w:r>
        <w:rPr>
          <w:rFonts w:ascii="Calibri" w:cs="Calibri" w:eastAsia="Calibri" w:hAnsi="Calibri"/>
          <w:b/>
          <w:bCs/>
          <w:color w:val="102B3F"/>
          <w:sz w:val="26"/>
          <w:szCs w:val="26"/>
        </w:rPr>
        <w:t xml:space="preserve">2. The personal data we collect</w:t>
      </w:r>
    </w:p>
    <w:p>
      <w:pPr>
        <w:keepLines/>
        <w:spacing w:after="120" w:line="264"/>
        <w:jc w:val="both"/>
      </w:pPr>
      <w:r>
        <w:rPr>
          <w:rFonts w:ascii="Calibri" w:cs="Calibri" w:eastAsia="Calibri" w:hAnsi="Calibri"/>
          <w:sz w:val="22"/>
          <w:szCs w:val="22"/>
        </w:rPr>
        <w:t xml:space="preserve">We collect identity details, contact details, financial and payment information, purchase and transaction history, messages and support communications and device, cookie, and online identifiers. We get it directly from you and our website forms and cookies.</w:t>
      </w:r>
    </w:p>
    <w:p>
      <w:pPr>
        <w:keepLines/>
        <w:spacing w:after="120" w:line="264"/>
        <w:jc w:val="both"/>
      </w:pPr>
      <w:r>
        <w:rPr>
          <w:rFonts w:ascii="Calibri" w:cs="Calibri" w:eastAsia="Calibri" w:hAnsi="Calibri"/>
          <w:sz w:val="22"/>
          <w:szCs w:val="22"/>
        </w:rPr>
        <w:t xml:space="preserve">Examples: Name, email address, mobile number, billing address, payment reference, support messages, and browser and device identifiers.</w:t>
      </w:r>
    </w:p>
    <w:p>
      <w:pPr>
        <w:pStyle w:val="Heading2"/>
        <w:keepNext/>
        <w:spacing w:after="120" w:before="240"/>
      </w:pPr>
      <w:r>
        <w:rPr>
          <w:rFonts w:ascii="Calibri" w:cs="Calibri" w:eastAsia="Calibri" w:hAnsi="Calibri"/>
          <w:b/>
          <w:bCs/>
          <w:color w:val="102B3F"/>
          <w:sz w:val="26"/>
          <w:szCs w:val="26"/>
        </w:rPr>
        <w:t xml:space="preserve">3. Why we use your data and our legal basis</w:t>
      </w:r>
    </w:p>
    <w:p>
      <w:pPr>
        <w:keepLines/>
        <w:spacing w:after="120" w:line="264"/>
        <w:jc w:val="both"/>
      </w:pPr>
      <w:r>
        <w:rPr>
          <w:rFonts w:ascii="Calibri" w:cs="Calibri" w:eastAsia="Calibri" w:hAnsi="Calibri"/>
          <w:sz w:val="22"/>
          <w:szCs w:val="22"/>
        </w:rPr>
        <w:t xml:space="preserve">We use your personal data to provide our products or services, process payments, give customer support, comply with the law, protect security and prevent fraud, send marketing and analyze and improve our service. We rely on different lawful bases depending on the purpose, as explained below.</w:t>
      </w:r>
    </w:p>
    <w:p>
      <w:pPr>
        <w:keepLines/>
        <w:spacing w:after="120" w:line="264"/>
        <w:jc w:val="both"/>
      </w:pPr>
      <w:r>
        <w:rPr>
          <w:rFonts w:ascii="Calibri" w:cs="Calibri" w:eastAsia="Calibri" w:hAnsi="Calibri"/>
          <w:sz w:val="22"/>
          <w:szCs w:val="22"/>
        </w:rPr>
        <w:t xml:space="preserve">We use your details to provide and bill for the service because it is necessary for our contract with you. We keep tax records because the law requires it. We use security and fraud checks under our legitimate interest in protecting the service. We send marketing only if you have agreed.</w:t>
      </w:r>
    </w:p>
    <w:p>
      <w:pPr>
        <w:keepLines/>
        <w:spacing w:after="120" w:line="264"/>
        <w:jc w:val="both"/>
      </w:pPr>
      <w:r>
        <w:rPr>
          <w:rFonts w:ascii="Calibri" w:cs="Calibri" w:eastAsia="Calibri" w:hAnsi="Calibri"/>
          <w:sz w:val="22"/>
          <w:szCs w:val="22"/>
        </w:rPr>
        <w:t xml:space="preserve">We send you marketing only if you have agreed, and you can withdraw that agreement at any time.</w:t>
      </w:r>
    </w:p>
    <w:p>
      <w:pPr>
        <w:keepLines/>
        <w:spacing w:after="120" w:line="264"/>
        <w:jc w:val="both"/>
      </w:pPr>
      <w:r>
        <w:rPr>
          <w:rFonts w:ascii="Calibri" w:cs="Calibri" w:eastAsia="Calibri" w:hAnsi="Calibri"/>
          <w:sz w:val="22"/>
          <w:szCs w:val="22"/>
        </w:rPr>
        <w:t xml:space="preserve">We use your data only for these purposes, only as far as they need it, and we do not use it in ways that are incompatible with them.</w:t>
      </w:r>
    </w:p>
    <w:p>
      <w:pPr>
        <w:pStyle w:val="Heading2"/>
        <w:keepNext/>
        <w:spacing w:after="120" w:before="240"/>
      </w:pPr>
      <w:r>
        <w:rPr>
          <w:rFonts w:ascii="Calibri" w:cs="Calibri" w:eastAsia="Calibri" w:hAnsi="Calibri"/>
          <w:b/>
          <w:bCs/>
          <w:color w:val="102B3F"/>
          <w:sz w:val="26"/>
          <w:szCs w:val="26"/>
        </w:rPr>
        <w:t xml:space="preserve">4. Who receives your data</w:t>
      </w:r>
    </w:p>
    <w:p>
      <w:pPr>
        <w:keepLines/>
        <w:spacing w:after="120" w:line="264"/>
        <w:jc w:val="both"/>
      </w:pPr>
      <w:r>
        <w:rPr>
          <w:rFonts w:ascii="Calibri" w:cs="Calibri" w:eastAsia="Calibri" w:hAnsi="Calibri"/>
          <w:sz w:val="22"/>
          <w:szCs w:val="22"/>
        </w:rPr>
        <w:t xml:space="preserve">We share your data with service providers acting for us, payment processors and government authorities where the law requires. Cloud hosting and email providers, our payment processor, and government agencies when the law requires.</w:t>
      </w:r>
    </w:p>
    <w:p>
      <w:pPr>
        <w:keepLines/>
        <w:spacing w:after="120" w:line="264"/>
        <w:jc w:val="both"/>
      </w:pPr>
      <w:r>
        <w:rPr>
          <w:rFonts w:ascii="Calibri" w:cs="Calibri" w:eastAsia="Calibri" w:hAnsi="Calibri"/>
          <w:sz w:val="22"/>
          <w:szCs w:val="22"/>
        </w:rPr>
        <w:t xml:space="preserve">Some data is stored or processed outside the Philippines. Our email and hosting providers store some data in data centers in Singapore. We require them to protect it with safeguards comparable to those of the Data Privacy Act. We remain accountable for the data we transfer.</w:t>
      </w:r>
    </w:p>
    <w:p>
      <w:pPr>
        <w:pStyle w:val="Heading2"/>
        <w:keepNext/>
        <w:spacing w:after="120" w:before="240"/>
      </w:pPr>
      <w:r>
        <w:rPr>
          <w:rFonts w:ascii="Calibri" w:cs="Calibri" w:eastAsia="Calibri" w:hAnsi="Calibri"/>
          <w:b/>
          <w:bCs/>
          <w:color w:val="102B3F"/>
          <w:sz w:val="26"/>
          <w:szCs w:val="26"/>
        </w:rPr>
        <w:t xml:space="preserve">5. Automated processing and cookies</w:t>
      </w:r>
    </w:p>
    <w:p>
      <w:pPr>
        <w:keepLines/>
        <w:spacing w:after="120" w:line="264"/>
        <w:jc w:val="both"/>
      </w:pPr>
      <w:r>
        <w:rPr>
          <w:rFonts w:ascii="Calibri" w:cs="Calibri" w:eastAsia="Calibri" w:hAnsi="Calibri"/>
          <w:sz w:val="22"/>
          <w:szCs w:val="22"/>
        </w:rPr>
        <w:t xml:space="preserve">We do not make decisions about you using only automated processing or profiling.</w:t>
      </w:r>
    </w:p>
    <w:p>
      <w:pPr>
        <w:keepLines/>
        <w:spacing w:after="120" w:line="264"/>
        <w:jc w:val="both"/>
      </w:pPr>
      <w:r>
        <w:rPr>
          <w:rFonts w:ascii="Calibri" w:cs="Calibri" w:eastAsia="Calibri" w:hAnsi="Calibri"/>
          <w:sz w:val="22"/>
          <w:szCs w:val="22"/>
        </w:rPr>
        <w:t xml:space="preserve">Our website uses cookies and similar tools. Essential cookies keep you signed in. Analytics cookies measure how the site is used and are set only if you agree.</w:t>
      </w:r>
    </w:p>
    <w:p>
      <w:pPr>
        <w:pStyle w:val="Heading2"/>
        <w:keepNext/>
        <w:spacing w:after="120" w:before="240"/>
      </w:pPr>
      <w:r>
        <w:rPr>
          <w:rFonts w:ascii="Calibri" w:cs="Calibri" w:eastAsia="Calibri" w:hAnsi="Calibri"/>
          <w:b/>
          <w:bCs/>
          <w:color w:val="102B3F"/>
          <w:sz w:val="26"/>
          <w:szCs w:val="26"/>
        </w:rPr>
        <w:t xml:space="preserve">6. How long we keep your data and how we protect it</w:t>
      </w:r>
    </w:p>
    <w:p>
      <w:pPr>
        <w:keepLines/>
        <w:spacing w:after="120" w:line="264"/>
        <w:jc w:val="both"/>
      </w:pPr>
      <w:r>
        <w:rPr>
          <w:rFonts w:ascii="Calibri" w:cs="Calibri" w:eastAsia="Calibri" w:hAnsi="Calibri"/>
          <w:sz w:val="22"/>
          <w:szCs w:val="22"/>
        </w:rPr>
        <w:t xml:space="preserve">Account details are kept while your account is open and for five years after it closes for tax and legal purposes. Support messages are kept for two years. Marketing preferences are kept until you withdraw consent.</w:t>
      </w:r>
    </w:p>
    <w:p>
      <w:pPr>
        <w:keepLines/>
        <w:spacing w:after="120" w:line="264"/>
        <w:jc w:val="both"/>
      </w:pPr>
      <w:r>
        <w:rPr>
          <w:rFonts w:ascii="Calibri" w:cs="Calibri" w:eastAsia="Calibri" w:hAnsi="Calibri"/>
          <w:sz w:val="22"/>
          <w:szCs w:val="22"/>
        </w:rPr>
        <w:t xml:space="preserve">We protect your data with access controls, encryption, staff training and incident response procedures, and we limit access to those who need it. If a personal data breach affects you, we will notify you and the National Privacy Commission as the law requires.</w:t>
      </w:r>
    </w:p>
    <w:p>
      <w:pPr>
        <w:pStyle w:val="Heading2"/>
        <w:keepNext/>
        <w:spacing w:after="120" w:before="240"/>
      </w:pPr>
      <w:r>
        <w:rPr>
          <w:rFonts w:ascii="Calibri" w:cs="Calibri" w:eastAsia="Calibri" w:hAnsi="Calibri"/>
          <w:b/>
          <w:bCs/>
          <w:color w:val="102B3F"/>
          <w:sz w:val="26"/>
          <w:szCs w:val="26"/>
        </w:rPr>
        <w:t xml:space="preserve">7. Children</w:t>
      </w:r>
    </w:p>
    <w:p>
      <w:pPr>
        <w:keepLines/>
        <w:spacing w:after="120" w:line="264"/>
        <w:jc w:val="both"/>
      </w:pPr>
      <w:r>
        <w:rPr>
          <w:rFonts w:ascii="Calibri" w:cs="Calibri" w:eastAsia="Calibri" w:hAnsi="Calibri"/>
          <w:sz w:val="22"/>
          <w:szCs w:val="22"/>
        </w:rPr>
        <w:t xml:space="preserve">We do not knowingly collect personal data about children. If you believe we have, please contact our Data Protection Officer.</w:t>
      </w:r>
    </w:p>
    <w:p>
      <w:pPr>
        <w:pStyle w:val="Heading2"/>
        <w:keepNext/>
        <w:spacing w:after="120" w:before="240"/>
      </w:pPr>
      <w:r>
        <w:rPr>
          <w:rFonts w:ascii="Calibri" w:cs="Calibri" w:eastAsia="Calibri" w:hAnsi="Calibri"/>
          <w:b/>
          <w:bCs/>
          <w:color w:val="102B3F"/>
          <w:sz w:val="26"/>
          <w:szCs w:val="26"/>
        </w:rPr>
        <w:t xml:space="preserve">8. Your rights</w:t>
      </w:r>
    </w:p>
    <w:p>
      <w:pPr>
        <w:keepLines/>
        <w:spacing w:after="120" w:line="264"/>
        <w:jc w:val="both"/>
      </w:pPr>
      <w:r>
        <w:rPr>
          <w:rFonts w:ascii="Calibri" w:cs="Calibri" w:eastAsia="Calibri" w:hAnsi="Calibri"/>
          <w:sz w:val="22"/>
          <w:szCs w:val="22"/>
        </w:rPr>
        <w:t xml:space="preserve">Under the Data Privacy Act you have the right to be informed; to object to processing, including for marketing; to access your personal data; to correct it; to have it erased or blocked in the cases the law provides; to obtain a copy of your data in a commonly used electronic format where we process it electronically and in a structured format on the basis of your consent or a contract with you; to claim compensation for damages from inaccurate, incomplete, outdated, false, unlawfully obtained, or unauthorized use of your data; and to withdraw consent where we rely on it. Your lawful heirs and assigns may exercise these rights after your death or if you are incapacitated (Data Privacy Act, Section 17).</w:t>
      </w:r>
    </w:p>
    <w:p>
      <w:pPr>
        <w:keepLines/>
        <w:spacing w:after="120" w:line="264"/>
        <w:jc w:val="both"/>
      </w:pPr>
      <w:r>
        <w:rPr>
          <w:rFonts w:ascii="Calibri" w:cs="Calibri" w:eastAsia="Calibri" w:hAnsi="Calibri"/>
          <w:sz w:val="22"/>
          <w:szCs w:val="22"/>
        </w:rPr>
        <w:t xml:space="preserve">To exercise a right, contact our Data Protection Officer using the details above. We will respond within 15 days. If you are not satisfied, you may file a complaint with the National Privacy Commission.</w:t>
      </w:r>
    </w:p>
    <w:p>
      <w:pPr>
        <w:pStyle w:val="Heading2"/>
        <w:keepNext/>
        <w:spacing w:after="120" w:before="240"/>
      </w:pPr>
      <w:r>
        <w:rPr>
          <w:rFonts w:ascii="Calibri" w:cs="Calibri" w:eastAsia="Calibri" w:hAnsi="Calibri"/>
          <w:b/>
          <w:bCs/>
          <w:color w:val="102B3F"/>
          <w:sz w:val="26"/>
          <w:szCs w:val="26"/>
        </w:rPr>
        <w:t xml:space="preserve">9. Changes to this notice</w:t>
      </w:r>
    </w:p>
    <w:p>
      <w:pPr>
        <w:keepLines/>
        <w:spacing w:after="120" w:line="264"/>
        <w:jc w:val="both"/>
      </w:pPr>
      <w:r>
        <w:rPr>
          <w:rFonts w:ascii="Calibri" w:cs="Calibri" w:eastAsia="Calibri" w:hAnsi="Calibri"/>
          <w:sz w:val="22"/>
          <w:szCs w:val="22"/>
        </w:rPr>
        <w:t xml:space="preserve">We will not change the information in this notice without telling you first (Data Privacy Act, Section 16). Before a significant change takes effect, such as a new purpose, a new kind of recipient, a new transfer outside the Philippines, a longer retention period, or a change in who controls your data, we will notify you by email or by a prominent notice on our website. Where we rely on your consent, you may object or withdraw your consent before the change applies to you.</w:t>
      </w:r>
    </w:p>
    <w:p>
      <w:pPr>
        <w:keepLines/>
        <w:spacing w:after="120" w:line="264"/>
        <w:jc w:val="both"/>
      </w:pPr>
      <w:r>
        <w:rPr>
          <w:rFonts w:ascii="Calibri" w:cs="Calibri" w:eastAsia="Calibri" w:hAnsi="Calibri"/>
          <w:sz w:val="22"/>
          <w:szCs w:val="22"/>
        </w:rPr>
        <w:t xml:space="preserve">We will show each new version and its date. This is Version 1.0, effective October 1, 2026.</w:t>
      </w:r>
    </w:p>
    <w:p>
      <w:pPr>
        <w:keepNext/>
        <w:spacing w:after="260" w:before="360"/>
      </w:pPr>
      <w:r>
        <w:rPr>
          <w:rFonts w:ascii="Calibri" w:cs="Calibri" w:eastAsia="Calibri" w:hAnsi="Calibri"/>
          <w:b/>
          <w:bCs/>
          <w:sz w:val="22"/>
          <w:szCs w:val="22"/>
        </w:rPr>
        <w:t xml:space="preserve">Approved for publication on October 1, 2026.</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APPROVED FOR PUBLICATION BY</w:t>
            </w:r>
          </w:p>
          <w:p>
            <w:pPr>
              <w:spacing w:after="120"/>
            </w:pPr>
            <w:r>
              <w:rPr>
                <w:rFonts w:ascii="Calibri" w:cs="Calibri" w:eastAsia="Calibri" w:hAnsi="Calibri"/>
                <w:sz w:val="22"/>
                <w:szCs w:val="22"/>
              </w:rPr>
              <w:t xml:space="preserve">Ramon L. Uy
Signature over printed name: ______________________________</w:t>
            </w:r>
          </w:p>
          <w:p>
            <w:pPr>
              <w:spacing w:after="120"/>
            </w:pPr>
            <w:r>
              <w:rPr>
                <w:rFonts w:ascii="Calibri" w:cs="Calibri" w:eastAsia="Calibri" w:hAnsi="Calibri"/>
                <w:sz w:val="22"/>
                <w:szCs w:val="22"/>
              </w:rPr>
              <w:t xml:space="preserve">Chief Executive Officer, Bayanihan Digital Services, Inc.</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
            </w:r>
          </w:p>
          <w:p>
            <w:pPr>
              <w:spacing w:after="120"/>
            </w:pPr>
            <w:r>
              <w:rPr>
                <w:rFonts w:ascii="Calibri" w:cs="Calibri" w:eastAsia="Calibri" w:hAnsi="Calibri"/>
                <w:sz w:val="22"/>
                <w:szCs w:val="22"/>
              </w:rPr>
              <w:t xml:space="preserve"/>
            </w:r>
          </w:p>
          <w:p>
            <w:pPr>
              <w:spacing w:after="120"/>
            </w:pPr>
            <w:r>
              <w:rPr>
                <w:rFonts w:ascii="Calibri" w:cs="Calibri" w:eastAsia="Calibri" w:hAnsi="Calibri"/>
                <w:sz w:val="22"/>
                <w:szCs w:val="22"/>
              </w:rPr>
              <w:t xml:space="preserve"/>
            </w:r>
          </w:p>
          <w:p>
            <w:r>
              <w:rPr>
                <w:rFonts w:ascii="Calibri" w:cs="Calibri" w:eastAsia="Calibri" w:hAnsi="Calibri"/>
                <w:sz w:val="22"/>
                <w:szCs w:val="22"/>
              </w:rPr>
              <w:t xml:space="preserve"/>
            </w:r>
          </w:p>
        </w:tc>
      </w:tr>
    </w:tbl>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A notice is only as accurate as the data inventory behind it. Before publishing, map what personal data you collect, why, where it goes, and how long you keep it. Fix any practice the notice cannot honestly describe.</w:t>
      </w:r>
    </w:p>
    <w:p>
      <w:pPr>
        <w:pStyle w:val="ListParagraph"/>
        <w:keepNext/>
        <w:numPr>
          <w:ilvl w:val="0"/>
          <w:numId w:val="1"/>
        </w:numPr>
        <w:spacing w:after="120" w:line="264"/>
      </w:pPr>
      <w:r>
        <w:rPr>
          <w:rFonts w:ascii="Calibri" w:cs="Calibri" w:eastAsia="Calibri" w:hAnsi="Calibri"/>
          <w:sz w:val="22"/>
          <w:szCs w:val="22"/>
        </w:rPr>
        <w:t xml:space="preserve">The notice cannot make an unlawful practice lawful. Each purpose still needs a lawful basis. Sensitive personal information, including age or date of birth, marital status, education, health, ethnic origin, beliefs, offences, and government-issued ID numbers, needs a ground in Section 13 of the Data Privacy Act; a contract or legitimate interests is not enough.</w:t>
      </w:r>
    </w:p>
    <w:p>
      <w:pPr>
        <w:pStyle w:val="ListParagraph"/>
        <w:keepNext/>
        <w:numPr>
          <w:ilvl w:val="0"/>
          <w:numId w:val="1"/>
        </w:numPr>
        <w:spacing w:after="120" w:line="264"/>
      </w:pPr>
      <w:r>
        <w:rPr>
          <w:rFonts w:ascii="Calibri" w:cs="Calibri" w:eastAsia="Calibri" w:hAnsi="Calibri"/>
          <w:sz w:val="22"/>
          <w:szCs w:val="22"/>
        </w:rPr>
        <w:t xml:space="preserve">Designate a Data Protection Officer, keep the contact details current, and check whether your organization must register its data processing system with the National Privacy Commission.</w:t>
      </w:r>
    </w:p>
    <w:p>
      <w:pPr>
        <w:pStyle w:val="ListParagraph"/>
        <w:keepNext/>
        <w:numPr>
          <w:ilvl w:val="0"/>
          <w:numId w:val="1"/>
        </w:numPr>
        <w:spacing w:after="120" w:line="264"/>
      </w:pPr>
      <w:r>
        <w:rPr>
          <w:rFonts w:ascii="Calibri" w:cs="Calibri" w:eastAsia="Calibri" w:hAnsi="Calibri"/>
          <w:sz w:val="22"/>
          <w:szCs w:val="22"/>
        </w:rPr>
        <w:t xml:space="preserve">Show the notice where you collect data, such as sign-up forms, checkout, and job applications, and link it from every page. Give a short notice at the point of collection where space is tight.</w:t>
      </w:r>
    </w:p>
    <w:p>
      <w:pPr>
        <w:pStyle w:val="ListParagraph"/>
        <w:keepNext/>
        <w:numPr>
          <w:ilvl w:val="0"/>
          <w:numId w:val="1"/>
        </w:numPr>
        <w:spacing w:after="120" w:line="264"/>
      </w:pPr>
      <w:r>
        <w:rPr>
          <w:rFonts w:ascii="Calibri" w:cs="Calibri" w:eastAsia="Calibri" w:hAnsi="Calibri"/>
          <w:sz w:val="22"/>
          <w:szCs w:val="22"/>
        </w:rPr>
        <w:t xml:space="preserve">If you use analytics or advertising cookies, ask for consent before they are set and give a way to withdraw it. Do not use pre-ticked boxes.</w:t>
      </w:r>
    </w:p>
    <w:p>
      <w:pPr>
        <w:pStyle w:val="ListParagraph"/>
        <w:keepNext/>
        <w:numPr>
          <w:ilvl w:val="0"/>
          <w:numId w:val="1"/>
        </w:numPr>
        <w:spacing w:after="120" w:line="264"/>
      </w:pPr>
      <w:r>
        <w:rPr>
          <w:rFonts w:ascii="Calibri" w:cs="Calibri" w:eastAsia="Calibri" w:hAnsi="Calibri"/>
          <w:sz w:val="22"/>
          <w:szCs w:val="22"/>
        </w:rPr>
        <w:t xml:space="preserve">Prepare separate or extended notices for employees and job applicants, whose data and purposes differ from customers'.</w:t>
      </w:r>
    </w:p>
    <w:p>
      <w:pPr>
        <w:pStyle w:val="ListParagraph"/>
        <w:keepNext/>
        <w:numPr>
          <w:ilvl w:val="0"/>
          <w:numId w:val="1"/>
        </w:numPr>
        <w:spacing w:after="120" w:line="264"/>
      </w:pPr>
      <w:r>
        <w:rPr>
          <w:rFonts w:ascii="Calibri" w:cs="Calibri" w:eastAsia="Calibri" w:hAnsi="Calibri"/>
          <w:sz w:val="22"/>
          <w:szCs w:val="22"/>
        </w:rPr>
        <w:t xml:space="preserve">Keep every version with its date. Tell people before a significant change takes effect, such as a new purpose, recipient, transfer, or retention period, and give them a chance to object or withdraw consent. Quietly replacing the notice is not enough.</w:t>
      </w:r>
    </w:p>
    <w:p>
      <w:pPr>
        <w:pStyle w:val="ListParagraph"/>
        <w:keepNext/>
        <w:numPr>
          <w:ilvl w:val="0"/>
          <w:numId w:val="1"/>
        </w:numPr>
        <w:spacing w:after="120" w:line="264"/>
      </w:pPr>
      <w:r>
        <w:rPr>
          <w:rFonts w:ascii="Calibri" w:cs="Calibri" w:eastAsia="Calibri" w:hAnsi="Calibri"/>
          <w:sz w:val="22"/>
          <w:szCs w:val="22"/>
        </w:rPr>
        <w:t xml:space="preserve">If you send marketing without an opt-in, document your legitimate-interest assessment first and use only non-sensitive data (NPC Circular No. 2023-04, Section 14). Do not bundle consent to marketing with consent to the service itself.</w:t>
      </w:r>
    </w:p>
    <w:p>
      <w:pPr>
        <w:pStyle w:val="ListParagraph"/>
        <w:keepNext/>
        <w:numPr>
          <w:ilvl w:val="0"/>
          <w:numId w:val="1"/>
        </w:numPr>
        <w:spacing w:after="120" w:line="264"/>
      </w:pPr>
      <w:r>
        <w:rPr>
          <w:rFonts w:ascii="Calibri" w:cs="Calibri" w:eastAsia="Calibri" w:hAnsi="Calibri"/>
          <w:sz w:val="22"/>
          <w:szCs w:val="22"/>
        </w:rPr>
        <w:t xml:space="preserve">Have working procedures to answer access, correction, and erasure requests within the time you state, and a plan to notify the National Privacy Commission and affected people of a breach within 72 hours where required.</w:t>
      </w:r>
    </w:p>
    <w:p>
      <w:pPr>
        <w:pStyle w:val="ListParagraph"/>
        <w:keepNext/>
        <w:numPr>
          <w:ilvl w:val="0"/>
          <w:numId w:val="1"/>
        </w:numPr>
        <w:spacing w:after="120" w:line="264"/>
      </w:pPr>
      <w:r>
        <w:rPr>
          <w:rFonts w:ascii="Calibri" w:cs="Calibri" w:eastAsia="Calibri" w:hAnsi="Calibri"/>
          <w:sz w:val="22"/>
          <w:szCs w:val="22"/>
        </w:rPr>
        <w:t xml:space="preserve">For large-scale or sensitive processing, carry out a privacy impact assessment.</w:t>
      </w:r>
    </w:p>
    <w:p>
      <w:pPr>
        <w:pStyle w:val="ListParagraph"/>
        <w:keepNext w:val="false"/>
        <w:numPr>
          <w:ilvl w:val="0"/>
          <w:numId w:val="1"/>
        </w:numPr>
        <w:spacing w:after="120" w:line="264"/>
      </w:pPr>
      <w:r>
        <w:rPr>
          <w:rFonts w:ascii="Calibri" w:cs="Calibri" w:eastAsia="Calibri" w:hAnsi="Calibri"/>
          <w:sz w:val="22"/>
          <w:szCs w:val="22"/>
        </w:rPr>
        <w:t xml:space="preserve">Use a Philippine privacy lawyer for sensitive data, children's data, cross-border transfers, profiling, or a complaint or breach.</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2026-09-21 onward, subject to the recorded review cycle | Independent Philippine privacy-lawyer review pending | Last legal check 2026-10-01 | Next review due 2026-11-01</w:t>
      </w:r>
    </w:p>
    <w:p>
      <w:pPr>
        <w:keepNext/>
        <w:spacing w:after="60" w:before="100"/>
      </w:pPr>
      <w:r>
        <w:rPr>
          <w:rFonts w:ascii="Calibri" w:cs="Calibri" w:eastAsia="Calibri" w:hAnsi="Calibri"/>
          <w:b/>
          <w:bCs/>
          <w:sz w:val="18"/>
          <w:szCs w:val="18"/>
        </w:rPr>
        <w:t xml:space="preserve">Data Privacy Act of 2012 (Republic Act No. 10173) - Sec. 3(l) (sensitive personal information includes age, marital status, race, ethnic origin, religious, philosophical, or political affiliations, health, education, offences and proceedings, and government-issued identifiers), Sec. 11 (transparency, legitimate purpose, proportionality), Secs. 12–13 (lawful processing; sensitive personal information only on a Section 13 ground), Sec. 16 (rights of the data subject, including the right to be informed; information given may not be amended without prior notification of the data subject), Sec. 17 (rights pass to lawful heirs and assigns), Sec. 18 (data portability where data is processed electronically in a structured, commonly used format), Secs. 20–21 (security and accountability, including transfers) (checked 2026-10-01)</w:t>
      </w:r>
    </w:p>
    <w:p>
      <w:pPr>
        <w:spacing w:after="120"/>
      </w:pPr>
      <w:hyperlink w:history="1" r:id="rIdvwddmgakfo_eazq8j52fw">
        <w:r>
          <w:rPr>
            <w:rFonts w:ascii="Calibri" w:cs="Calibri" w:eastAsia="Calibri" w:hAnsi="Calibri"/>
            <w:color w:val="315B75"/>
            <w:sz w:val="17"/>
            <w:szCs w:val="17"/>
            <w:u w:val="single"/>
          </w:rPr>
          <w:t xml:space="preserve">https://lawphil.net/statutes/repacts/ra2012/ra_10173_2012.html</w:t>
        </w:r>
      </w:hyperlink>
    </w:p>
    <w:p>
      <w:pPr>
        <w:keepNext/>
        <w:spacing w:after="60" w:before="100"/>
      </w:pPr>
      <w:r>
        <w:rPr>
          <w:rFonts w:ascii="Calibri" w:cs="Calibri" w:eastAsia="Calibri" w:hAnsi="Calibri"/>
          <w:b/>
          <w:bCs/>
          <w:sz w:val="18"/>
          <w:szCs w:val="18"/>
        </w:rPr>
        <w:t xml:space="preserve">Implementing Rules and Regulations of the Data Privacy Act of 2012, as amended - Sec. 34(a): the information a privacy notice must give a data subject before or at collection, and Sec. 34 on the other data subject rights (checked 2026-10-01)</w:t>
      </w:r>
    </w:p>
    <w:p>
      <w:pPr>
        <w:spacing w:after="120"/>
      </w:pPr>
      <w:hyperlink w:history="1" r:id="rId0-vtjtq5kwrbolkzi-qep">
        <w:r>
          <w:rPr>
            <w:rFonts w:ascii="Calibri" w:cs="Calibri" w:eastAsia="Calibri" w:hAnsi="Calibri"/>
            <w:color w:val="315B75"/>
            <w:sz w:val="17"/>
            <w:szCs w:val="17"/>
            <w:u w:val="single"/>
          </w:rPr>
          <w:t xml:space="preserve">https://privacy.gov.ph/wp-content/uploads/2023/06/IRR_RA-10173-as-amended.pdf</w:t>
        </w:r>
      </w:hyperlink>
    </w:p>
    <w:p>
      <w:pPr>
        <w:keepNext/>
        <w:spacing w:after="60" w:before="100"/>
      </w:pPr>
      <w:r>
        <w:rPr>
          <w:rFonts w:ascii="Calibri" w:cs="Calibri" w:eastAsia="Calibri" w:hAnsi="Calibri"/>
          <w:b/>
          <w:bCs/>
          <w:sz w:val="18"/>
          <w:szCs w:val="18"/>
        </w:rPr>
        <w:t xml:space="preserve">NPC Advisory No. 2021-01 (Data Subject Rights), archived agency copy - Sec. 6 (information to give data subjects); Sec. 7(A) (a significant change to the information given to data subjects, such as a change in the controller, the purposes, or the scope or method of processing, must be notified with an opportunity to object or withdraw consent); Sec. 11(A) (data portability applies where processing is based on consent or contract and is done electronically in a structured format). The live NPC link now returns an error, so this record cites the Internet Archive copy (checked 2026-10-01)</w:t>
      </w:r>
    </w:p>
    <w:p>
      <w:pPr>
        <w:spacing w:after="120"/>
      </w:pPr>
      <w:hyperlink w:history="1" r:id="rIdj7w7tatydee5z-pygsydu">
        <w:r>
          <w:rPr>
            <w:rFonts w:ascii="Calibri" w:cs="Calibri" w:eastAsia="Calibri" w:hAnsi="Calibri"/>
            <w:color w:val="315B75"/>
            <w:sz w:val="17"/>
            <w:szCs w:val="17"/>
            <w:u w:val="single"/>
          </w:rPr>
          <w:t xml:space="preserve">https://web.archive.org/web/20231213122310/https://privacy.gov.ph/wp-content/uploads/2021/02/NPC-Advisory-2021-01-FINAL.pdf</w:t>
        </w:r>
      </w:hyperlink>
    </w:p>
    <w:p>
      <w:pPr>
        <w:keepNext/>
        <w:spacing w:after="60" w:before="100"/>
      </w:pPr>
      <w:r>
        <w:rPr>
          <w:rFonts w:ascii="Calibri" w:cs="Calibri" w:eastAsia="Calibri" w:hAnsi="Calibri"/>
          <w:b/>
          <w:bCs/>
          <w:sz w:val="18"/>
          <w:szCs w:val="18"/>
        </w:rPr>
        <w:t xml:space="preserve">NPC Circular No. 2023-04 (Guidelines on Consent) - Sec. 8(B) (consent must not be bundled with the provision of goods or services), Sec. 14 (direct marketing of personal information may rest on an assessed legitimate interest; consent is needed where the processing significantly affects the data subject's rights) (checked 2026-10-01)</w:t>
      </w:r>
    </w:p>
    <w:p>
      <w:pPr>
        <w:spacing w:after="120"/>
      </w:pPr>
      <w:hyperlink w:history="1" r:id="rIdc-x79puaqnxe72vhjtbsg">
        <w:r>
          <w:rPr>
            <w:rFonts w:ascii="Calibri" w:cs="Calibri" w:eastAsia="Calibri" w:hAnsi="Calibri"/>
            <w:color w:val="315B75"/>
            <w:sz w:val="17"/>
            <w:szCs w:val="17"/>
            <w:u w:val="single"/>
          </w:rPr>
          <w:t xml:space="preserve">https://privacy.gov.ph/wp-content/uploads/2023/11/NPC-Circular-No.-2023-04_Guidelines-on-Consent_07Nov2023.pdf</w:t>
        </w:r>
      </w:hyperlink>
    </w:p>
    <w:p>
      <w:pPr>
        <w:keepNext/>
        <w:spacing w:after="60" w:before="100"/>
      </w:pPr>
      <w:r>
        <w:rPr>
          <w:rFonts w:ascii="Calibri" w:cs="Calibri" w:eastAsia="Calibri" w:hAnsi="Calibri"/>
          <w:b/>
          <w:bCs/>
          <w:sz w:val="18"/>
          <w:szCs w:val="18"/>
        </w:rPr>
        <w:t xml:space="preserve">National Privacy Commission advisories and circulars - NPC circulars and advisories on transparency, Data Protection Officers, registration of data processing systems, and breach notification (checked 2026-09-21)</w:t>
      </w:r>
    </w:p>
    <w:p>
      <w:pPr>
        <w:spacing w:after="120"/>
      </w:pPr>
      <w:hyperlink w:history="1" r:id="rIdxlxdltijpbe3t2gx7hcfq">
        <w:r>
          <w:rPr>
            <w:rFonts w:ascii="Calibri" w:cs="Calibri" w:eastAsia="Calibri" w:hAnsi="Calibri"/>
            <w:color w:val="315B75"/>
            <w:sz w:val="17"/>
            <w:szCs w:val="17"/>
            <w:u w:val="single"/>
          </w:rPr>
          <w:t xml:space="preserve">https://privacy.gov.ph/pips-and-pics/advisories-circulars/</w:t>
        </w:r>
      </w:hyperlink>
    </w:p>
    <w:p>
      <w:pPr>
        <w:keepNext/>
        <w:spacing w:after="60" w:before="100"/>
      </w:pPr>
      <w:r>
        <w:rPr>
          <w:rFonts w:ascii="Calibri" w:cs="Calibri" w:eastAsia="Calibri" w:hAnsi="Calibri"/>
          <w:b/>
          <w:bCs/>
          <w:sz w:val="18"/>
          <w:szCs w:val="18"/>
        </w:rPr>
        <w:t xml:space="preserve">Electronic Commerce Act of 2000 (Republic Act No. 8792) - Electronic data messages and electronic documents used to present the notice online (checked 2026-09-21)</w:t>
      </w:r>
    </w:p>
    <w:p>
      <w:pPr>
        <w:spacing w:after="120"/>
      </w:pPr>
      <w:hyperlink w:history="1" r:id="rIdybdh1pqhdizkxikjv9o47">
        <w:r>
          <w:rPr>
            <w:rFonts w:ascii="Calibri" w:cs="Calibri" w:eastAsia="Calibri" w:hAnsi="Calibri"/>
            <w:color w:val="315B75"/>
            <w:sz w:val="17"/>
            <w:szCs w:val="17"/>
            <w:u w:val="single"/>
          </w:rPr>
          <w:t xml:space="preserve">https://lawphil.net/statutes/repacts/ra2000/ra_8792_2000.html</w:t>
        </w:r>
      </w:hyperlink>
    </w:p>
    <w:p>
      <w:pPr>
        <w:keepNext/>
        <w:spacing w:after="60" w:before="100"/>
      </w:pPr>
      <w:r>
        <w:rPr>
          <w:rFonts w:ascii="Calibri" w:cs="Calibri" w:eastAsia="Calibri" w:hAnsi="Calibri"/>
          <w:b/>
          <w:bCs/>
          <w:sz w:val="18"/>
          <w:szCs w:val="18"/>
        </w:rPr>
        <w:t xml:space="preserve">Consumer Act of the Philippines (Republic Act No. 7394) - Consumer information and fair-dealing duties that a notice must not contradict (checked 2026-09-21)</w:t>
      </w:r>
    </w:p>
    <w:p>
      <w:pPr>
        <w:spacing w:after="120"/>
      </w:pPr>
      <w:hyperlink w:history="1" r:id="rIdavz2hnpotfzz-6w_xi3nb">
        <w:r>
          <w:rPr>
            <w:rFonts w:ascii="Calibri" w:cs="Calibri" w:eastAsia="Calibri" w:hAnsi="Calibri"/>
            <w:color w:val="315B75"/>
            <w:sz w:val="17"/>
            <w:szCs w:val="17"/>
            <w:u w:val="single"/>
          </w:rPr>
          <w:t xml:space="preserve">https://lawphil.net/statutes/repacts/ra1992/ra_7394_1992.html</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wddmgakfo_eazq8j52fw" Type="http://schemas.openxmlformats.org/officeDocument/2006/relationships/hyperlink" Target="https://lawphil.net/statutes/repacts/ra2012/ra_10173_2012.html" TargetMode="External"/><Relationship Id="rId0-vtjtq5kwrbolkzi-qep" Type="http://schemas.openxmlformats.org/officeDocument/2006/relationships/hyperlink" Target="https://privacy.gov.ph/wp-content/uploads/2023/06/IRR_RA-10173-as-amended.pdf" TargetMode="External"/><Relationship Id="rIdj7w7tatydee5z-pygsydu" Type="http://schemas.openxmlformats.org/officeDocument/2006/relationships/hyperlink" Target="https://web.archive.org/web/20231213122310/https://privacy.gov.ph/wp-content/uploads/2021/02/NPC-Advisory-2021-01-FINAL.pdf" TargetMode="External"/><Relationship Id="rIdc-x79puaqnxe72vhjtbsg" Type="http://schemas.openxmlformats.org/officeDocument/2006/relationships/hyperlink" Target="https://privacy.gov.ph/wp-content/uploads/2023/11/NPC-Circular-No.-2023-04_Guidelines-on-Consent_07Nov2023.pdf" TargetMode="External"/><Relationship Id="rIdxlxdltijpbe3t2gx7hcfq" Type="http://schemas.openxmlformats.org/officeDocument/2006/relationships/hyperlink" Target="https://privacy.gov.ph/pips-and-pics/advisories-circulars/" TargetMode="External"/><Relationship Id="rIdybdh1pqhdizkxikjv9o47" Type="http://schemas.openxmlformats.org/officeDocument/2006/relationships/hyperlink" Target="https://lawphil.net/statutes/repacts/ra2000/ra_8792_2000.html" TargetMode="External"/><Relationship Id="rIdavz2hnpotfzz-6w_xi3nb" Type="http://schemas.openxmlformats.org/officeDocument/2006/relationships/hyperlink" Target="https://lawphil.net/statutes/repacts/ra1992/ra_7394_1992.html"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NOTICE</dc:title>
  <dc:creator>LAW.PH</dc:creator>
  <dc:description>Free sample of the Privacy Notice from LAW.PH, with fictional details</dc:description>
  <cp:lastModifiedBy>Un-named</cp:lastModifiedBy>
  <cp:revision>1</cp:revision>
  <dcterms:created xsi:type="dcterms:W3CDTF">2026-10-02T05:29:57.048Z</dcterms:created>
  <dcterms:modified xsi:type="dcterms:W3CDTF">2026-10-02T05:29:57.048Z</dcterms:modified>
</cp:coreProperties>
</file>

<file path=docProps/custom.xml><?xml version="1.0" encoding="utf-8"?>
<Properties xmlns="http://schemas.openxmlformats.org/officeDocument/2006/custom-properties" xmlns:vt="http://schemas.openxmlformats.org/officeDocument/2006/docPropsVTypes"/>
</file>