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PROBATIONARY EMPLOYMENT AGREEMENT</w:t>
      </w:r>
    </w:p>
    <w:p>
      <w:pPr>
        <w:spacing w:after="160"/>
        <w:jc w:val="center"/>
      </w:pPr>
      <w:r>
        <w:rPr>
          <w:rFonts w:ascii="Calibri" w:cs="Calibri" w:eastAsia="Calibri" w:hAnsi="Calibri"/>
          <w:color w:val="566674"/>
          <w:sz w:val="18"/>
          <w:szCs w:val="18"/>
        </w:rPr>
        <w:t xml:space="preserve">Republic of the Philippines — Private-sector employment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labor-lawyer review pending</w:t>
      </w:r>
    </w:p>
    <w:p>
      <w:pPr>
        <w:keepLines/>
        <w:spacing w:after="120" w:line="264"/>
        <w:jc w:val="both"/>
      </w:pPr>
      <w:r>
        <w:rPr>
          <w:rFonts w:ascii="Calibri" w:cs="Calibri" w:eastAsia="Calibri" w:hAnsi="Calibri"/>
          <w:sz w:val="22"/>
          <w:szCs w:val="22"/>
        </w:rPr>
        <w:t xml:space="preserve">This Probationary Employment Agreement (the "Agreement") is made on September 28, 2026 at Makati City, Philippines, between Bayanihan Digital Services, Inc., with address at 18/F One Ayala Tower, Ayala Avenue, Makati City 1226 (the "Employer"), and Juan Miguel Santos, of legal age, residing at Unit 8B, Sampaguita Residences, Quezon City 1100 (the "Employee").</w:t>
      </w:r>
    </w:p>
    <w:p>
      <w:pPr>
        <w:pStyle w:val="Heading2"/>
        <w:keepNext/>
        <w:spacing w:after="120" w:before="240"/>
      </w:pPr>
      <w:r>
        <w:rPr>
          <w:rFonts w:ascii="Calibri" w:cs="Calibri" w:eastAsia="Calibri" w:hAnsi="Calibri"/>
          <w:b/>
          <w:bCs/>
          <w:color w:val="102B3F"/>
          <w:sz w:val="26"/>
          <w:szCs w:val="26"/>
        </w:rPr>
        <w:t xml:space="preserve">1. Engagement and probationary period</w:t>
      </w:r>
    </w:p>
    <w:p>
      <w:pPr>
        <w:keepLines/>
        <w:spacing w:after="120" w:line="264"/>
        <w:jc w:val="both"/>
      </w:pPr>
      <w:r>
        <w:rPr>
          <w:rFonts w:ascii="Calibri" w:cs="Calibri" w:eastAsia="Calibri" w:hAnsi="Calibri"/>
          <w:sz w:val="22"/>
          <w:szCs w:val="22"/>
        </w:rPr>
        <w:t xml:space="preserve">The Employer engages the Employee as Customer Support Specialist in Customer Experience, on probationary status, from October 1, 2026.</w:t>
      </w:r>
    </w:p>
    <w:p>
      <w:pPr>
        <w:keepLines/>
        <w:spacing w:after="120" w:line="264"/>
        <w:jc w:val="both"/>
      </w:pPr>
      <w:r>
        <w:rPr>
          <w:rFonts w:ascii="Calibri" w:cs="Calibri" w:eastAsia="Calibri" w:hAnsi="Calibri"/>
          <w:sz w:val="22"/>
          <w:szCs w:val="22"/>
        </w:rPr>
        <w:t xml:space="preserve">The probationary period runs from October 1, 2026 to March 30, 2027, which is 180 days counted from the day after the first day of work. It does not exceed the six-month maximum under Article 296 [281] of the Labor Code, which the Supreme Court counts as 180 days.</w:t>
      </w:r>
    </w:p>
    <w:p>
      <w:pPr>
        <w:keepLines/>
        <w:spacing w:after="120" w:line="264"/>
        <w:jc w:val="both"/>
      </w:pPr>
      <w:r>
        <w:rPr>
          <w:rFonts w:ascii="Calibri" w:cs="Calibri" w:eastAsia="Calibri" w:hAnsi="Calibri"/>
          <w:sz w:val="22"/>
          <w:szCs w:val="22"/>
        </w:rPr>
        <w:t xml:space="preserve">The Employee becomes a regular employee if the Employee meets the standards below. An employee who is allowed to work after the probationary period ends, without a valid written notice of termination, is a regular employee.</w:t>
      </w:r>
    </w:p>
    <w:p>
      <w:pPr>
        <w:pStyle w:val="Heading2"/>
        <w:keepNext/>
        <w:spacing w:after="120" w:before="240"/>
      </w:pPr>
      <w:r>
        <w:rPr>
          <w:rFonts w:ascii="Calibri" w:cs="Calibri" w:eastAsia="Calibri" w:hAnsi="Calibri"/>
          <w:b/>
          <w:bCs/>
          <w:color w:val="102B3F"/>
          <w:sz w:val="26"/>
          <w:szCs w:val="26"/>
        </w:rPr>
        <w:t xml:space="preserve">2. Duties, supervision, place, and hours</w:t>
      </w:r>
    </w:p>
    <w:p>
      <w:pPr>
        <w:keepLines/>
        <w:spacing w:after="120" w:line="264"/>
        <w:jc w:val="both"/>
      </w:pPr>
      <w:r>
        <w:rPr>
          <w:rFonts w:ascii="Calibri" w:cs="Calibri" w:eastAsia="Calibri" w:hAnsi="Calibri"/>
          <w:sz w:val="22"/>
          <w:szCs w:val="22"/>
        </w:rPr>
        <w:t xml:space="preserve">The Employee's principal duties are: Respond to customer inquiries by chat, email, and phone; log and resolve support tickets; escalate complex cases to the team lead; and keep accurate case notes.</w:t>
      </w:r>
    </w:p>
    <w:p>
      <w:pPr>
        <w:keepLines/>
        <w:spacing w:after="120" w:line="264"/>
        <w:jc w:val="both"/>
      </w:pPr>
      <w:r>
        <w:rPr>
          <w:rFonts w:ascii="Calibri" w:cs="Calibri" w:eastAsia="Calibri" w:hAnsi="Calibri"/>
          <w:sz w:val="22"/>
          <w:szCs w:val="22"/>
        </w:rPr>
        <w:t xml:space="preserve">The Employee reports to and is evaluated by the Customer Support Manager. The place of work is 18/F One Ayala Tower, Ayala Avenue, Makati City. The work schedule is Monday to Friday, 8:00 a.m. to 5:00 p.m., with a one-hour unpaid meal break, subject to lawful changes the Employer announces in advance.</w:t>
      </w:r>
    </w:p>
    <w:p>
      <w:pPr>
        <w:pStyle w:val="Heading2"/>
        <w:keepNext/>
        <w:spacing w:after="120" w:before="240"/>
      </w:pPr>
      <w:r>
        <w:rPr>
          <w:rFonts w:ascii="Calibri" w:cs="Calibri" w:eastAsia="Calibri" w:hAnsi="Calibri"/>
          <w:b/>
          <w:bCs/>
          <w:color w:val="102B3F"/>
          <w:sz w:val="26"/>
          <w:szCs w:val="26"/>
        </w:rPr>
        <w:t xml:space="preserve">3. Standards for regularization</w:t>
      </w:r>
    </w:p>
    <w:p>
      <w:pPr>
        <w:keepLines/>
        <w:spacing w:after="120" w:line="264"/>
        <w:jc w:val="both"/>
      </w:pPr>
      <w:r>
        <w:rPr>
          <w:rFonts w:ascii="Calibri" w:cs="Calibri" w:eastAsia="Calibri" w:hAnsi="Calibri"/>
          <w:sz w:val="22"/>
          <w:szCs w:val="22"/>
        </w:rPr>
        <w:t xml:space="preserve">The Employer has made the following reasonable standards known to the Employee, in writing, at the time of engagement, on or before the first day of work (October 1, 2026 to March 30, 2027):</w:t>
      </w:r>
    </w:p>
    <w:p>
      <w:pPr>
        <w:keepLines/>
        <w:spacing w:after="120" w:line="264"/>
        <w:jc w:val="both"/>
      </w:pPr>
      <w:r>
        <w:rPr>
          <w:rFonts w:ascii="Calibri" w:cs="Calibri" w:eastAsia="Calibri" w:hAnsi="Calibri"/>
          <w:sz w:val="22"/>
          <w:szCs w:val="22"/>
        </w:rPr>
        <w:t xml:space="preserve">1. Resolve at least 85% of assigned tickets within the service-level time. 2. Keep a customer satisfaction score of at least 4.2 out of 5. 3. Complete the product and data-privacy training within the first 30 days. 4. Follow the attendance and conduct rules in the handbook.</w:t>
      </w:r>
    </w:p>
    <w:p>
      <w:pPr>
        <w:keepLines/>
        <w:spacing w:after="120" w:line="264"/>
        <w:jc w:val="both"/>
      </w:pPr>
      <w:r>
        <w:rPr>
          <w:rFonts w:ascii="Calibri" w:cs="Calibri" w:eastAsia="Calibri" w:hAnsi="Calibri"/>
          <w:sz w:val="22"/>
          <w:szCs w:val="22"/>
        </w:rPr>
        <w:t xml:space="preserve">Performance is measured as follows: The Customer Support Manager reviews ticket data and customer scores monthly and completes a written evaluation at the mid-point and at the final evaluation date, and shares each result with the employee.</w:t>
      </w:r>
    </w:p>
    <w:p>
      <w:pPr>
        <w:pStyle w:val="Heading2"/>
        <w:keepNext/>
        <w:spacing w:after="120" w:before="240"/>
      </w:pPr>
      <w:r>
        <w:rPr>
          <w:rFonts w:ascii="Calibri" w:cs="Calibri" w:eastAsia="Calibri" w:hAnsi="Calibri"/>
          <w:b/>
          <w:bCs/>
          <w:color w:val="102B3F"/>
          <w:sz w:val="26"/>
          <w:szCs w:val="26"/>
        </w:rPr>
        <w:t xml:space="preserve">4. Evaluation and decision</w:t>
      </w:r>
    </w:p>
    <w:p>
      <w:pPr>
        <w:keepLines/>
        <w:spacing w:after="120" w:line="264"/>
        <w:jc w:val="both"/>
      </w:pPr>
      <w:r>
        <w:rPr>
          <w:rFonts w:ascii="Calibri" w:cs="Calibri" w:eastAsia="Calibri" w:hAnsi="Calibri"/>
          <w:sz w:val="22"/>
          <w:szCs w:val="22"/>
        </w:rPr>
        <w:t xml:space="preserve">The Employer shall hold a mid-probation evaluation on or about December 15, 2026 and share the result with the Employee.</w:t>
      </w:r>
    </w:p>
    <w:p>
      <w:pPr>
        <w:keepLines/>
        <w:spacing w:after="120" w:line="264"/>
        <w:jc w:val="both"/>
      </w:pPr>
      <w:r>
        <w:rPr>
          <w:rFonts w:ascii="Calibri" w:cs="Calibri" w:eastAsia="Calibri" w:hAnsi="Calibri"/>
          <w:sz w:val="22"/>
          <w:szCs w:val="22"/>
        </w:rPr>
        <w:t xml:space="preserve">The Employer shall hold the final evaluation on or before March 15, 2027 and shall tell the Employee its decision in writing before the probationary period ends.</w:t>
      </w:r>
    </w:p>
    <w:p>
      <w:pPr>
        <w:keepLines/>
        <w:spacing w:after="120" w:line="264"/>
        <w:jc w:val="both"/>
      </w:pPr>
      <w:r>
        <w:rPr>
          <w:rFonts w:ascii="Calibri" w:cs="Calibri" w:eastAsia="Calibri" w:hAnsi="Calibri"/>
          <w:sz w:val="22"/>
          <w:szCs w:val="22"/>
        </w:rPr>
        <w:t xml:space="preserve">If the Employee meets the standards, the Employee becomes a regular employee on the day after the probationary period ends, with the same or better terms.</w:t>
      </w:r>
    </w:p>
    <w:p>
      <w:pPr>
        <w:keepLines/>
        <w:spacing w:after="120" w:line="264"/>
        <w:jc w:val="both"/>
      </w:pPr>
      <w:r>
        <w:rPr>
          <w:rFonts w:ascii="Calibri" w:cs="Calibri" w:eastAsia="Calibri" w:hAnsi="Calibri"/>
          <w:sz w:val="22"/>
          <w:szCs w:val="22"/>
        </w:rPr>
        <w:t xml:space="preserve">If the Employer decides that the Employee has not met the standards, it shall serve on the Employee written notice, stating the standards not met, no later than March 25, 2027, which is before the probationary period ends. The employment then ends at the close of March 30, 2027. Employment may also end earlier for a just or authorized cause under the Labor Code, following due process.</w:t>
      </w:r>
    </w:p>
    <w:p>
      <w:pPr>
        <w:pStyle w:val="Heading2"/>
        <w:keepNext/>
        <w:spacing w:after="120" w:before="240"/>
      </w:pPr>
      <w:r>
        <w:rPr>
          <w:rFonts w:ascii="Calibri" w:cs="Calibri" w:eastAsia="Calibri" w:hAnsi="Calibri"/>
          <w:b/>
          <w:bCs/>
          <w:color w:val="102B3F"/>
          <w:sz w:val="26"/>
          <w:szCs w:val="26"/>
        </w:rPr>
        <w:t xml:space="preserve">5. Pay and benefits</w:t>
      </w:r>
    </w:p>
    <w:p>
      <w:pPr>
        <w:keepLines/>
        <w:spacing w:after="120" w:line="264"/>
        <w:jc w:val="both"/>
      </w:pPr>
      <w:r>
        <w:rPr>
          <w:rFonts w:ascii="Calibri" w:cs="Calibri" w:eastAsia="Calibri" w:hAnsi="Calibri"/>
          <w:sz w:val="22"/>
          <w:szCs w:val="22"/>
        </w:rPr>
        <w:t xml:space="preserve">The Employee shall receive a monthly salary of Twenty-Six Thousand Pesos (PHP 26,000.00), released twice a month at intervals not exceeding sixteen (16) days (Article 103 of the Labor Code), which is not lower than the applicable regional minimum wage.</w:t>
      </w:r>
    </w:p>
    <w:p>
      <w:pPr>
        <w:keepLines/>
        <w:spacing w:after="120" w:line="264"/>
        <w:jc w:val="both"/>
      </w:pPr>
      <w:r>
        <w:rPr>
          <w:rFonts w:ascii="Calibri" w:cs="Calibri" w:eastAsia="Calibri" w:hAnsi="Calibri"/>
          <w:sz w:val="22"/>
          <w:szCs w:val="22"/>
        </w:rPr>
        <w:t xml:space="preserve">Allowances and other pay items: Rice subsidy of PHP 1,500 per month.</w:t>
      </w:r>
    </w:p>
    <w:p>
      <w:pPr>
        <w:keepLines/>
        <w:spacing w:after="120" w:line="264"/>
        <w:jc w:val="both"/>
      </w:pPr>
      <w:r>
        <w:rPr>
          <w:rFonts w:ascii="Calibri" w:cs="Calibri" w:eastAsia="Calibri" w:hAnsi="Calibri"/>
          <w:sz w:val="22"/>
          <w:szCs w:val="22"/>
        </w:rPr>
        <w:t xml:space="preserve">The Employee is entitled to the statutory benefits the law gives, including 13th-month pay, holiday pay, overtime and premium pay where due, and service incentive leave after one year of service. The Employer shall remit the Employee's SSS, PhilHealth, and Pag-IBIG contributions from the first day of work.</w:t>
      </w:r>
    </w:p>
    <w:p>
      <w:pPr>
        <w:keepLines/>
        <w:spacing w:after="120" w:line="264"/>
        <w:jc w:val="both"/>
      </w:pPr>
      <w:r>
        <w:rPr>
          <w:rFonts w:ascii="Calibri" w:cs="Calibri" w:eastAsia="Calibri" w:hAnsi="Calibri"/>
          <w:sz w:val="22"/>
          <w:szCs w:val="22"/>
        </w:rPr>
        <w:t xml:space="preserve">The Employer shall make no deduction from the Employee's wages except as the Labor Code and other laws allow (Article 113).</w:t>
      </w:r>
    </w:p>
    <w:p>
      <w:pPr>
        <w:pStyle w:val="Heading2"/>
        <w:keepNext/>
        <w:spacing w:after="120" w:before="240"/>
      </w:pPr>
      <w:r>
        <w:rPr>
          <w:rFonts w:ascii="Calibri" w:cs="Calibri" w:eastAsia="Calibri" w:hAnsi="Calibri"/>
          <w:b/>
          <w:bCs/>
          <w:color w:val="102B3F"/>
          <w:sz w:val="26"/>
          <w:szCs w:val="26"/>
        </w:rPr>
        <w:t xml:space="preserve">6. Conduct, confidentiality, and privacy</w:t>
      </w:r>
    </w:p>
    <w:p>
      <w:pPr>
        <w:keepLines/>
        <w:spacing w:after="120" w:line="264"/>
        <w:jc w:val="both"/>
      </w:pPr>
      <w:r>
        <w:rPr>
          <w:rFonts w:ascii="Calibri" w:cs="Calibri" w:eastAsia="Calibri" w:hAnsi="Calibri"/>
          <w:sz w:val="22"/>
          <w:szCs w:val="22"/>
        </w:rPr>
        <w:t xml:space="preserve">The Employee shall follow the Employer's lawful code of conduct and policies, which the Employer has given the Employee.</w:t>
      </w:r>
    </w:p>
    <w:p>
      <w:pPr>
        <w:keepLines/>
        <w:spacing w:after="120" w:line="264"/>
        <w:jc w:val="both"/>
      </w:pPr>
      <w:r>
        <w:rPr>
          <w:rFonts w:ascii="Calibri" w:cs="Calibri" w:eastAsia="Calibri" w:hAnsi="Calibri"/>
          <w:sz w:val="22"/>
          <w:szCs w:val="22"/>
        </w:rPr>
        <w:t xml:space="preserve">The Employee shall keep the Employer's confidential business information secret during and after employment and use it only for the Employer's work. This does not restrict the Employee from reporting a violation of law or discussing the Employee's own pay and working conditions.</w:t>
      </w:r>
    </w:p>
    <w:p>
      <w:pPr>
        <w:keepLines/>
        <w:spacing w:after="120" w:line="264"/>
        <w:jc w:val="both"/>
      </w:pPr>
      <w:r>
        <w:rPr>
          <w:rFonts w:ascii="Calibri" w:cs="Calibri" w:eastAsia="Calibri" w:hAnsi="Calibri"/>
          <w:sz w:val="22"/>
          <w:szCs w:val="22"/>
        </w:rPr>
        <w:t xml:space="preserve">The Employer shall collect and use the Employee's personal data only as its privacy notice describes and as the Data Privacy Act allows.</w:t>
      </w:r>
    </w:p>
    <w:p>
      <w:pPr>
        <w:pStyle w:val="Heading2"/>
        <w:keepNext/>
        <w:spacing w:after="120" w:before="240"/>
      </w:pPr>
      <w:r>
        <w:rPr>
          <w:rFonts w:ascii="Calibri" w:cs="Calibri" w:eastAsia="Calibri" w:hAnsi="Calibri"/>
          <w:b/>
          <w:bCs/>
          <w:color w:val="102B3F"/>
          <w:sz w:val="26"/>
          <w:szCs w:val="26"/>
        </w:rPr>
        <w:t xml:space="preserve">7. Resignation, disputes, and general terms</w:t>
      </w:r>
    </w:p>
    <w:p>
      <w:pPr>
        <w:keepLines/>
        <w:spacing w:after="120" w:line="264"/>
        <w:jc w:val="both"/>
      </w:pPr>
      <w:r>
        <w:rPr>
          <w:rFonts w:ascii="Calibri" w:cs="Calibri" w:eastAsia="Calibri" w:hAnsi="Calibri"/>
          <w:sz w:val="22"/>
          <w:szCs w:val="22"/>
        </w:rPr>
        <w:t xml:space="preserve">The Employee may resign by giving the Employer written notice at least one month (thirty days) in advance (Article 300 [285] of the Labor Code), which the Employer may shorten by written agreement.</w:t>
      </w:r>
    </w:p>
    <w:p>
      <w:pPr>
        <w:keepLines/>
        <w:spacing w:after="120" w:line="264"/>
        <w:jc w:val="both"/>
      </w:pPr>
      <w:r>
        <w:rPr>
          <w:rFonts w:ascii="Calibri" w:cs="Calibri" w:eastAsia="Calibri" w:hAnsi="Calibri"/>
          <w:sz w:val="22"/>
          <w:szCs w:val="22"/>
        </w:rPr>
        <w:t xml:space="preserve">Nothing in this Agreement waives any right of the Employee under the Labor Code, wage orders, or any more favorable law, policy, or agreement, and those rights prevail over anything inconsistent here. The parties shall first use the DOLE conciliation-mediation process for any labor dispute before filing a case.</w:t>
      </w:r>
    </w:p>
    <w:p>
      <w:pPr>
        <w:keepLines/>
        <w:spacing w:after="120" w:line="264"/>
        <w:jc w:val="both"/>
      </w:pPr>
      <w:r>
        <w:rPr>
          <w:rFonts w:ascii="Calibri" w:cs="Calibri" w:eastAsia="Calibri" w:hAnsi="Calibri"/>
          <w:sz w:val="22"/>
          <w:szCs w:val="22"/>
        </w:rPr>
        <w:t xml:space="preserve">This Agreement is the whole agreement on the Employee's probationary employment. If any provision is held invalid, the rest remains in force. Philippine law governs.</w:t>
      </w:r>
    </w:p>
    <w:p>
      <w:pPr>
        <w:keepNext/>
        <w:spacing w:after="260" w:before="360"/>
      </w:pPr>
      <w:r>
        <w:rPr>
          <w:rFonts w:ascii="Calibri" w:cs="Calibri" w:eastAsia="Calibri" w:hAnsi="Calibri"/>
          <w:b/>
          <w:bCs/>
          <w:sz w:val="22"/>
          <w:szCs w:val="22"/>
        </w:rPr>
        <w:t xml:space="preserve">IN WITNESS WHEREOF, the parties have signed this Agreement on September 28, 2026 at Makati City, Philippines. The Employee acknowledges receiving a signed copy and the written standards on or before the first day of work.</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EMPLOYER</w:t>
            </w:r>
          </w:p>
          <w:p>
            <w:pPr>
              <w:spacing w:after="120"/>
            </w:pPr>
            <w:r>
              <w:rPr>
                <w:rFonts w:ascii="Calibri" w:cs="Calibri" w:eastAsia="Calibri" w:hAnsi="Calibri"/>
                <w:sz w:val="22"/>
                <w:szCs w:val="22"/>
              </w:rPr>
              <w:t xml:space="preserve">Bayanihan Digital Services, Inc.
By: Andrea M. Reyes, HR Director
Signature over printed name: ______________________________</w:t>
            </w:r>
          </w:p>
          <w:p>
            <w:pPr>
              <w:spacing w:after="120"/>
            </w:pPr>
            <w:r>
              <w:rPr>
                <w:rFonts w:ascii="Calibri" w:cs="Calibri" w:eastAsia="Calibri" w:hAnsi="Calibri"/>
                <w:sz w:val="22"/>
                <w:szCs w:val="22"/>
              </w:rPr>
              <w:t xml:space="preserve">Employer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EMPLOYEE</w:t>
            </w:r>
          </w:p>
          <w:p>
            <w:pPr>
              <w:spacing w:after="120"/>
            </w:pPr>
            <w:r>
              <w:rPr>
                <w:rFonts w:ascii="Calibri" w:cs="Calibri" w:eastAsia="Calibri" w:hAnsi="Calibri"/>
                <w:sz w:val="22"/>
                <w:szCs w:val="22"/>
              </w:rPr>
              <w:t xml:space="preserve">Juan Miguel Santos
Signature over printed name: ______________________________</w:t>
            </w:r>
          </w:p>
          <w:p>
            <w:pPr>
              <w:spacing w:after="120"/>
            </w:pPr>
            <w:r>
              <w:rPr>
                <w:rFonts w:ascii="Calibri" w:cs="Calibri" w:eastAsia="Calibri" w:hAnsi="Calibri"/>
                <w:sz w:val="22"/>
                <w:szCs w:val="22"/>
              </w:rPr>
              <w:t xml:space="preserve">Customer Support Specialist (probationary)</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Give the employee a signed copy of this agreement and the written standards on or before the first day of work. If the standards are not made known at engagement, the employee is treated as a regular employee from the start.</w:t>
      </w:r>
    </w:p>
    <w:p>
      <w:pPr>
        <w:pStyle w:val="ListParagraph"/>
        <w:keepNext/>
        <w:numPr>
          <w:ilvl w:val="0"/>
          <w:numId w:val="1"/>
        </w:numPr>
        <w:spacing w:after="120" w:line="264"/>
      </w:pPr>
      <w:r>
        <w:rPr>
          <w:rFonts w:ascii="Calibri" w:cs="Calibri" w:eastAsia="Calibri" w:hAnsi="Calibri"/>
          <w:sz w:val="22"/>
          <w:szCs w:val="22"/>
        </w:rPr>
        <w:t xml:space="preserve">Probation cannot exceed 180 days counted from the day after the first day of work. Here it ends on March 30, 2027. Work beyond that day without a valid written notice makes the employee regular. Ask a labor lawyer before extending, or for a lawful exception such as an apprenticeship.</w:t>
      </w:r>
    </w:p>
    <w:p>
      <w:pPr>
        <w:pStyle w:val="ListParagraph"/>
        <w:keepNext/>
        <w:numPr>
          <w:ilvl w:val="0"/>
          <w:numId w:val="1"/>
        </w:numPr>
        <w:spacing w:after="120" w:line="264"/>
      </w:pPr>
      <w:r>
        <w:rPr>
          <w:rFonts w:ascii="Calibri" w:cs="Calibri" w:eastAsia="Calibri" w:hAnsi="Calibri"/>
          <w:sz w:val="22"/>
          <w:szCs w:val="22"/>
        </w:rPr>
        <w:t xml:space="preserve">Standards must be reasonable, job-related, and measurable. Keep the evaluation forms, coaching notes, and data that show how the employee did against each standard.</w:t>
      </w:r>
    </w:p>
    <w:p>
      <w:pPr>
        <w:pStyle w:val="ListParagraph"/>
        <w:keepNext/>
        <w:numPr>
          <w:ilvl w:val="0"/>
          <w:numId w:val="1"/>
        </w:numPr>
        <w:spacing w:after="120" w:line="264"/>
      </w:pPr>
      <w:r>
        <w:rPr>
          <w:rFonts w:ascii="Calibri" w:cs="Calibri" w:eastAsia="Calibri" w:hAnsi="Calibri"/>
          <w:sz w:val="22"/>
          <w:szCs w:val="22"/>
        </w:rPr>
        <w:t xml:space="preserve">Hold the final evaluation by March 15, 2027 and, if the employee did not meet the standards, serve the written notice no later than March 25, 2027, stating the standard not met. Keep proof of delivery. A vague or late notice invites an illegal-dismissal claim.</w:t>
      </w:r>
    </w:p>
    <w:p>
      <w:pPr>
        <w:pStyle w:val="ListParagraph"/>
        <w:keepNext/>
        <w:numPr>
          <w:ilvl w:val="0"/>
          <w:numId w:val="1"/>
        </w:numPr>
        <w:spacing w:after="120" w:line="264"/>
      </w:pPr>
      <w:r>
        <w:rPr>
          <w:rFonts w:ascii="Calibri" w:cs="Calibri" w:eastAsia="Calibri" w:hAnsi="Calibri"/>
          <w:sz w:val="22"/>
          <w:szCs w:val="22"/>
        </w:rPr>
        <w:t xml:space="preserve">Pay wages at least every two weeks, or twice a month no more than 16 days apart (Labor Code, Art. 103). An ordinary once-a-month payroll does not meet this rule.</w:t>
      </w:r>
    </w:p>
    <w:p>
      <w:pPr>
        <w:pStyle w:val="ListParagraph"/>
        <w:keepNext/>
        <w:numPr>
          <w:ilvl w:val="0"/>
          <w:numId w:val="1"/>
        </w:numPr>
        <w:spacing w:after="120" w:line="264"/>
      </w:pPr>
      <w:r>
        <w:rPr>
          <w:rFonts w:ascii="Calibri" w:cs="Calibri" w:eastAsia="Calibri" w:hAnsi="Calibri"/>
          <w:sz w:val="22"/>
          <w:szCs w:val="22"/>
        </w:rPr>
        <w:t xml:space="preserve">A probationary employee has security of tenure during the period and can be dismissed only for a just or authorized cause or for failing the standards made known at engagement.</w:t>
      </w:r>
    </w:p>
    <w:p>
      <w:pPr>
        <w:pStyle w:val="ListParagraph"/>
        <w:keepNext/>
        <w:numPr>
          <w:ilvl w:val="0"/>
          <w:numId w:val="1"/>
        </w:numPr>
        <w:spacing w:after="120" w:line="264"/>
      </w:pPr>
      <w:r>
        <w:rPr>
          <w:rFonts w:ascii="Calibri" w:cs="Calibri" w:eastAsia="Calibri" w:hAnsi="Calibri"/>
          <w:sz w:val="22"/>
          <w:szCs w:val="22"/>
        </w:rPr>
        <w:t xml:space="preserve">Pay at least the regional minimum wage, and give 13th-month pay, holiday and overtime pay where due, and service incentive leave after one year. Register the employee and remit SSS, PhilHealth, and Pag-IBIG contributions from day one.</w:t>
      </w:r>
    </w:p>
    <w:p>
      <w:pPr>
        <w:pStyle w:val="ListParagraph"/>
        <w:keepNext/>
        <w:numPr>
          <w:ilvl w:val="0"/>
          <w:numId w:val="1"/>
        </w:numPr>
        <w:spacing w:after="120" w:line="264"/>
      </w:pPr>
      <w:r>
        <w:rPr>
          <w:rFonts w:ascii="Calibri" w:cs="Calibri" w:eastAsia="Calibri" w:hAnsi="Calibri"/>
          <w:sz w:val="22"/>
          <w:szCs w:val="22"/>
        </w:rPr>
        <w:t xml:space="preserve">Deduct from wages only where the law allows. Do not require a blank resignation letter, a quitclaim, or a training bond that the law does not support.</w:t>
      </w:r>
    </w:p>
    <w:p>
      <w:pPr>
        <w:pStyle w:val="ListParagraph"/>
        <w:keepNext/>
        <w:numPr>
          <w:ilvl w:val="0"/>
          <w:numId w:val="1"/>
        </w:numPr>
        <w:spacing w:after="120" w:line="264"/>
      </w:pPr>
      <w:r>
        <w:rPr>
          <w:rFonts w:ascii="Calibri" w:cs="Calibri" w:eastAsia="Calibri" w:hAnsi="Calibri"/>
          <w:sz w:val="22"/>
          <w:szCs w:val="22"/>
        </w:rPr>
        <w:t xml:space="preserve">If the employee previously worked for the same employer, or through an agency, a new probation may not be allowed or may be shortened. Check the prior service.</w:t>
      </w:r>
    </w:p>
    <w:p>
      <w:pPr>
        <w:pStyle w:val="ListParagraph"/>
        <w:keepNext/>
        <w:numPr>
          <w:ilvl w:val="0"/>
          <w:numId w:val="1"/>
        </w:numPr>
        <w:spacing w:after="120" w:line="264"/>
      </w:pPr>
      <w:r>
        <w:rPr>
          <w:rFonts w:ascii="Calibri" w:cs="Calibri" w:eastAsia="Calibri" w:hAnsi="Calibri"/>
          <w:sz w:val="22"/>
          <w:szCs w:val="22"/>
        </w:rPr>
        <w:t xml:space="preserve">Give the employee the handbook and the employer's privacy notice, and keep signed acknowledgments.</w:t>
      </w:r>
    </w:p>
    <w:p>
      <w:pPr>
        <w:pStyle w:val="ListParagraph"/>
        <w:keepNext w:val="false"/>
        <w:numPr>
          <w:ilvl w:val="0"/>
          <w:numId w:val="1"/>
        </w:numPr>
        <w:spacing w:after="120" w:line="264"/>
      </w:pPr>
      <w:r>
        <w:rPr>
          <w:rFonts w:ascii="Calibri" w:cs="Calibri" w:eastAsia="Calibri" w:hAnsi="Calibri"/>
          <w:sz w:val="22"/>
          <w:szCs w:val="22"/>
        </w:rPr>
        <w:t xml:space="preserve">Use a Philippine labor lawyer for managerial or highly skilled roles, a unionized workplace with a collective agreement, or any decision to end the employment.</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labor-lawyer review pending | Last legal check 2026-10-01 | Next review due 2026-11-01</w:t>
      </w:r>
    </w:p>
    <w:p>
      <w:pPr>
        <w:keepNext/>
        <w:spacing w:after="60" w:before="100"/>
      </w:pPr>
      <w:r>
        <w:rPr>
          <w:rFonts w:ascii="Calibri" w:cs="Calibri" w:eastAsia="Calibri" w:hAnsi="Calibri"/>
          <w:b/>
          <w:bCs/>
          <w:sz w:val="18"/>
          <w:szCs w:val="18"/>
        </w:rPr>
        <w:t xml:space="preserve">Labor Code of the Philippines (Presidential Decree No. 442), as amended and renumbered — DOLE 2022 edition - Art. 296 [281]: probationary period not exceeding six months and standards made known at engagement; Art. 295 [280]: regular employment; Art. 294 [279]: security of tenure; Art. 297 [282]: just causes; Art. 300 [285]: resignation notice; Art. 103: wages paid at least once every two weeks or twice a month at intervals not exceeding sixteen days; Art. 113: wage deductions (checked 2026-10-01)</w:t>
      </w:r>
    </w:p>
    <w:p>
      <w:pPr>
        <w:spacing w:after="120"/>
      </w:pPr>
      <w:hyperlink w:history="1" r:id="rIdwdm9s9ghxchhaxi_mcesh">
        <w:r>
          <w:rPr>
            <w:rFonts w:ascii="Calibri" w:cs="Calibri" w:eastAsia="Calibri" w:hAnsi="Calibri"/>
            <w:color w:val="315B75"/>
            <w:sz w:val="17"/>
            <w:szCs w:val="17"/>
            <w:u w:val="single"/>
          </w:rPr>
          <w:t xml:space="preserve">https://web.archive.org/web/20220402205705/https://bwc.dole.gov.ph/images/Downloads/2022_02_02_LaborCode_ofthe_Philippines_2022DOLE_edition.pdf</w:t>
        </w:r>
      </w:hyperlink>
    </w:p>
    <w:p>
      <w:pPr>
        <w:keepNext/>
        <w:spacing w:after="60" w:before="100"/>
      </w:pPr>
      <w:r>
        <w:rPr>
          <w:rFonts w:ascii="Calibri" w:cs="Calibri" w:eastAsia="Calibri" w:hAnsi="Calibri"/>
          <w:b/>
          <w:bCs/>
          <w:sz w:val="18"/>
          <w:szCs w:val="18"/>
        </w:rPr>
        <w:t xml:space="preserve">Mitsubishi Motors Philippines Corp. v. Chrysler Philippines Labor Union, G.R. No. 148738 (June 29, 2004) - Six months of probation is 180 days, counted under Civil Code Art. 13 by excluding the first day; notice served after the 180th day reached an employee who had already become regular (checked 2026-10-01)</w:t>
      </w:r>
    </w:p>
    <w:p>
      <w:pPr>
        <w:spacing w:after="120"/>
      </w:pPr>
      <w:hyperlink w:history="1" r:id="rIdimurxgst_8pncrgml-25c">
        <w:r>
          <w:rPr>
            <w:rFonts w:ascii="Calibri" w:cs="Calibri" w:eastAsia="Calibri" w:hAnsi="Calibri"/>
            <w:color w:val="315B75"/>
            <w:sz w:val="17"/>
            <w:szCs w:val="17"/>
            <w:u w:val="single"/>
          </w:rPr>
          <w:t xml:space="preserve">https://lawphil.net/judjuris/juri2004/jun2004/gr_148738_2004.html</w:t>
        </w:r>
      </w:hyperlink>
    </w:p>
    <w:p>
      <w:pPr>
        <w:keepNext/>
        <w:spacing w:after="60" w:before="100"/>
      </w:pPr>
      <w:r>
        <w:rPr>
          <w:rFonts w:ascii="Calibri" w:cs="Calibri" w:eastAsia="Calibri" w:hAnsi="Calibri"/>
          <w:b/>
          <w:bCs/>
          <w:sz w:val="18"/>
          <w:szCs w:val="18"/>
        </w:rPr>
        <w:t xml:space="preserve">Abbott Laboratories, Philippines v. Alcaraz, G.R. No. 192571 (July 23, 2013) - Reasonable standards must be communicated to the probationary employee at the time of engagement; failure makes the employee regular (Implementing Rules, Book VI, Rule I, Sec. 6(d)) (checked 2026-10-01)</w:t>
      </w:r>
    </w:p>
    <w:p>
      <w:pPr>
        <w:spacing w:after="120"/>
      </w:pPr>
      <w:hyperlink w:history="1" r:id="rIdwarsnhicp6lg3az2dcaui">
        <w:r>
          <w:rPr>
            <w:rFonts w:ascii="Calibri" w:cs="Calibri" w:eastAsia="Calibri" w:hAnsi="Calibri"/>
            <w:color w:val="315B75"/>
            <w:sz w:val="17"/>
            <w:szCs w:val="17"/>
            <w:u w:val="single"/>
          </w:rPr>
          <w:t xml:space="preserve">https://lawphil.net/judjuris/juri2013/jul2013/gr_192571_2013.html</w:t>
        </w:r>
      </w:hyperlink>
    </w:p>
    <w:p>
      <w:pPr>
        <w:keepNext/>
        <w:spacing w:after="60" w:before="100"/>
      </w:pPr>
      <w:r>
        <w:rPr>
          <w:rFonts w:ascii="Calibri" w:cs="Calibri" w:eastAsia="Calibri" w:hAnsi="Calibri"/>
          <w:b/>
          <w:bCs/>
          <w:sz w:val="18"/>
          <w:szCs w:val="18"/>
        </w:rPr>
        <w:t xml:space="preserve">DOLE Department Order No. 9, Series of 1997 (Rules Implementing Book V), Rule XXIII - Rule XXIII, Sec. 2: for termination of probationary employment, written notice served within a reasonable time from the effective date of termination (checked 2026-10-01)</w:t>
      </w:r>
    </w:p>
    <w:p>
      <w:pPr>
        <w:spacing w:after="120"/>
      </w:pPr>
      <w:hyperlink w:history="1" r:id="rId5ugjuylobx6rj_fta4zdq">
        <w:r>
          <w:rPr>
            <w:rFonts w:ascii="Calibri" w:cs="Calibri" w:eastAsia="Calibri" w:hAnsi="Calibri"/>
            <w:color w:val="315B75"/>
            <w:sz w:val="17"/>
            <w:szCs w:val="17"/>
            <w:u w:val="single"/>
          </w:rPr>
          <w:t xml:space="preserve">https://elibrary.judiciary.gov.ph/thebookshelf/showdocs/10/40878</w:t>
        </w:r>
      </w:hyperlink>
    </w:p>
    <w:p>
      <w:pPr>
        <w:keepNext/>
        <w:spacing w:after="60" w:before="100"/>
      </w:pPr>
      <w:r>
        <w:rPr>
          <w:rFonts w:ascii="Calibri" w:cs="Calibri" w:eastAsia="Calibri" w:hAnsi="Calibri"/>
          <w:b/>
          <w:bCs/>
          <w:sz w:val="18"/>
          <w:szCs w:val="18"/>
        </w:rPr>
        <w:t xml:space="preserve">Handbook on Workers' Statutory Monetary Benefits, 2024 Edition - 13th-month pay for all rank-and-file employees regardless of the nature of their employment; service incentive leave and other statutory benefits (checked 2026-10-01)</w:t>
      </w:r>
    </w:p>
    <w:p>
      <w:pPr>
        <w:spacing w:after="120"/>
      </w:pPr>
      <w:hyperlink w:history="1" r:id="rIduchrkx8zhjilhp6iff7ss">
        <w:r>
          <w:rPr>
            <w:rFonts w:ascii="Calibri" w:cs="Calibri" w:eastAsia="Calibri" w:hAnsi="Calibri"/>
            <w:color w:val="315B75"/>
            <w:sz w:val="17"/>
            <w:szCs w:val="17"/>
            <w:u w:val="single"/>
          </w:rPr>
          <w:t xml:space="preserve">https://nwpc.dole.gov.ph/wp-content/uploads/2024/11/Workers-Statutory-Monetary-Benefits-Handbook-2024-Edition.pdf</w:t>
        </w:r>
      </w:hyperlink>
    </w:p>
    <w:p>
      <w:pPr>
        <w:keepNext/>
        <w:spacing w:after="60" w:before="100"/>
      </w:pPr>
      <w:r>
        <w:rPr>
          <w:rFonts w:ascii="Calibri" w:cs="Calibri" w:eastAsia="Calibri" w:hAnsi="Calibri"/>
          <w:b/>
          <w:bCs/>
          <w:sz w:val="18"/>
          <w:szCs w:val="18"/>
        </w:rPr>
        <w:t xml:space="preserve">Wage Rationalization Act (Republic Act No. 6727) - Regional minimum wage and wage-order compliance (checked 2026-10-01)</w:t>
      </w:r>
    </w:p>
    <w:p>
      <w:pPr>
        <w:spacing w:after="120"/>
      </w:pPr>
      <w:hyperlink w:history="1" r:id="rIdseo4vre1lkd_3uuioljkm">
        <w:r>
          <w:rPr>
            <w:rFonts w:ascii="Calibri" w:cs="Calibri" w:eastAsia="Calibri" w:hAnsi="Calibri"/>
            <w:color w:val="315B75"/>
            <w:sz w:val="17"/>
            <w:szCs w:val="17"/>
            <w:u w:val="single"/>
          </w:rPr>
          <w:t xml:space="preserve">https://lawphil.net/statutes/repacts/ra1989/ra_6727_1989.html</w:t>
        </w:r>
      </w:hyperlink>
    </w:p>
    <w:p>
      <w:pPr>
        <w:keepNext/>
        <w:spacing w:after="60" w:before="100"/>
      </w:pPr>
      <w:r>
        <w:rPr>
          <w:rFonts w:ascii="Calibri" w:cs="Calibri" w:eastAsia="Calibri" w:hAnsi="Calibri"/>
          <w:b/>
          <w:bCs/>
          <w:sz w:val="18"/>
          <w:szCs w:val="18"/>
        </w:rPr>
        <w:t xml:space="preserve">Data Privacy Act of 2012 (Republic Act No. 10173) - Secs. 12 and 16: lawful processing of employee personal data and the right to be informed (checked 2026-10-01)</w:t>
      </w:r>
    </w:p>
    <w:p>
      <w:pPr>
        <w:spacing w:after="120"/>
      </w:pPr>
      <w:hyperlink w:history="1" r:id="rIdkdv01czpj4bqgdkfv5gwb">
        <w:r>
          <w:rPr>
            <w:rFonts w:ascii="Calibri" w:cs="Calibri" w:eastAsia="Calibri" w:hAnsi="Calibri"/>
            <w:color w:val="315B75"/>
            <w:sz w:val="17"/>
            <w:szCs w:val="17"/>
            <w:u w:val="single"/>
          </w:rPr>
          <w:t xml:space="preserve">https://lawphil.net/statutes/repacts/ra2012/ra_10173_2012.html</w:t>
        </w:r>
      </w:hyperlink>
    </w:p>
    <w:p>
      <w:pPr>
        <w:keepNext/>
        <w:spacing w:after="60" w:before="100"/>
      </w:pPr>
      <w:r>
        <w:rPr>
          <w:rFonts w:ascii="Calibri" w:cs="Calibri" w:eastAsia="Calibri" w:hAnsi="Calibri"/>
          <w:b/>
          <w:bCs/>
          <w:sz w:val="18"/>
          <w:szCs w:val="18"/>
        </w:rPr>
        <w:t xml:space="preserve">Republic Act No. 10396 (Strengthening Conciliation-Mediation of Labor Disputes) - Mandatory conciliation-mediation of labor disputes before adjudication (checked 2026-10-01)</w:t>
      </w:r>
    </w:p>
    <w:p>
      <w:pPr>
        <w:spacing w:after="120"/>
      </w:pPr>
      <w:hyperlink w:history="1" r:id="rId_ll0oc18cj78yjwneit7-">
        <w:r>
          <w:rPr>
            <w:rFonts w:ascii="Calibri" w:cs="Calibri" w:eastAsia="Calibri" w:hAnsi="Calibri"/>
            <w:color w:val="315B75"/>
            <w:sz w:val="17"/>
            <w:szCs w:val="17"/>
            <w:u w:val="single"/>
          </w:rPr>
          <w:t xml:space="preserve">https://lawphil.net/statutes/repacts/ra2013/ra_10396_2013.html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m9s9ghxchhaxi_mcesh" Type="http://schemas.openxmlformats.org/officeDocument/2006/relationships/hyperlink" Target="https://web.archive.org/web/20220402205705/https://bwc.dole.gov.ph/images/Downloads/2022_02_02_LaborCode_ofthe_Philippines_2022DOLE_edition.pdf" TargetMode="External"/><Relationship Id="rIdimurxgst_8pncrgml-25c" Type="http://schemas.openxmlformats.org/officeDocument/2006/relationships/hyperlink" Target="https://lawphil.net/judjuris/juri2004/jun2004/gr_148738_2004.html" TargetMode="External"/><Relationship Id="rIdwarsnhicp6lg3az2dcaui" Type="http://schemas.openxmlformats.org/officeDocument/2006/relationships/hyperlink" Target="https://lawphil.net/judjuris/juri2013/jul2013/gr_192571_2013.html" TargetMode="External"/><Relationship Id="rId5ugjuylobx6rj_fta4zdq" Type="http://schemas.openxmlformats.org/officeDocument/2006/relationships/hyperlink" Target="https://elibrary.judiciary.gov.ph/thebookshelf/showdocs/10/40878" TargetMode="External"/><Relationship Id="rIduchrkx8zhjilhp6iff7ss" Type="http://schemas.openxmlformats.org/officeDocument/2006/relationships/hyperlink" Target="https://nwpc.dole.gov.ph/wp-content/uploads/2024/11/Workers-Statutory-Monetary-Benefits-Handbook-2024-Edition.pdf" TargetMode="External"/><Relationship Id="rIdseo4vre1lkd_3uuioljkm" Type="http://schemas.openxmlformats.org/officeDocument/2006/relationships/hyperlink" Target="https://lawphil.net/statutes/repacts/ra1989/ra_6727_1989.html" TargetMode="External"/><Relationship Id="rIdkdv01czpj4bqgdkfv5gwb" Type="http://schemas.openxmlformats.org/officeDocument/2006/relationships/hyperlink" Target="https://lawphil.net/statutes/repacts/ra2012/ra_10173_2012.html" TargetMode="External"/><Relationship Id="rId_ll0oc18cj78yjwneit7-" Type="http://schemas.openxmlformats.org/officeDocument/2006/relationships/hyperlink" Target="https://lawphil.net/statutes/repacts/ra2013/ra_10396_2013.html"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PROBATIONARY EMPLOYMENT AGREEMENT</dc:title>
  <dc:creator>LAW.PH</dc:creator>
  <dc:description>Free sample of the Probationary Employment Agreement from LAW.PH, with fictional details</dc:description>
  <cp:lastModifiedBy>Un-named</cp:lastModifiedBy>
  <cp:revision>1</cp:revision>
  <dcterms:created xsi:type="dcterms:W3CDTF">2026-10-02T05:29:58.713Z</dcterms:created>
  <dcterms:modified xsi:type="dcterms:W3CDTF">2026-10-02T05:29:58.713Z</dcterms:modified>
</cp:coreProperties>
</file>

<file path=docProps/custom.xml><?xml version="1.0" encoding="utf-8"?>
<Properties xmlns="http://schemas.openxmlformats.org/officeDocument/2006/custom-properties" xmlns:vt="http://schemas.openxmlformats.org/officeDocument/2006/docPropsVTypes"/>
</file>