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  <w:jc w:val="center"/>
      </w:pPr>
      <w:r>
        <w:rPr>
          <w:rFonts w:ascii="Calibri" w:cs="Calibri" w:eastAsia="Calibri" w:hAnsi="Calibri"/>
          <w:b/>
          <w:bCs/>
          <w:color w:val="B48735"/>
          <w:spacing w:val="100"/>
          <w:sz w:val="18"/>
          <w:szCs w:val="18"/>
        </w:rPr>
        <w:t xml:space="preserve">LAW.PH</w:t>
      </w:r>
    </w:p>
    <w:p>
      <w:pPr>
        <w:pStyle w:val="Title"/>
        <w:spacing w:after="100"/>
        <w:jc w:val="center"/>
      </w:pPr>
      <w:r>
        <w:rPr>
          <w:rFonts w:ascii="Calibri" w:cs="Calibri" w:eastAsia="Calibri" w:hAnsi="Calibri"/>
          <w:b/>
          <w:bCs/>
          <w:color w:val="102B3F"/>
          <w:sz w:val="30"/>
          <w:szCs w:val="30"/>
        </w:rPr>
        <w:t xml:space="preserve">RENTAL MOVE-IN INVENTORY AND CONDITION REPORT</w:t>
      </w:r>
    </w:p>
    <w:p>
      <w:pPr>
        <w:spacing w:after="160"/>
        <w:jc w:val="center"/>
      </w:pPr>
      <w:r>
        <w:rPr>
          <w:rFonts w:ascii="Calibri" w:cs="Calibri" w:eastAsia="Calibri" w:hAnsi="Calibri"/>
          <w:color w:val="566674"/>
          <w:sz w:val="18"/>
          <w:szCs w:val="18"/>
        </w:rPr>
        <w:t xml:space="preserve">Philippine rental evidence record · 0.2.0 · Independent Philippine lawyer review pending</w:t>
      </w:r>
    </w:p>
    <w:p>
      <w:pPr>
        <w:shd w:fill="FFF8E8" w:val="clear"/>
        <w:spacing w:after="260" w:before="80"/>
        <w:jc w:val="center"/>
      </w:pPr>
      <w:r>
        <w:rPr>
          <w:rFonts w:ascii="Calibri" w:cs="Calibri" w:eastAsia="Calibri" w:hAnsi="Calibri"/>
          <w:b/>
          <w:bCs/>
          <w:color w:val="8A5A12"/>
          <w:sz w:val="16"/>
          <w:szCs w:val="16"/>
        </w:rPr>
        <w:t xml:space="preserve">FREE SAMPLE · Fictional names, dates, and amounts: replace every one before use · ENGINEERING DRAFT — VERIFY OBSERVATIONS, MEDIA, COSTS, AND SIGNATURES BEFORE USE</w:t>
      </w:r>
    </w:p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  <w:b/>
          <w:bCs/>
          <w:color w:val="102B3F"/>
          <w:sz w:val="26"/>
          <w:szCs w:val="26"/>
        </w:rPr>
        <w:t xml:space="preserve">1. Report identity and inspection event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Report type: move in. Inspection: August 30, 2026, 9:30 AM to 11:10 AM, Asia/Manila (UTC+8). Report completed: August 30, 2026. Participation: joint.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Lessor: Maria L. Santos, 15 Sampaguita Street, Barangay Poblacion, Quezon City 1100, Philippines. Lessee: Juan D. Reyes, Unit 2B, 15 Sampaguita Street, Barangay Poblacion, Quezon City 1100, Philippines. Inspector: no separate independent inspector. Attendees: Maria L. Santos, lessor; Juan D. Reyes, lessee; and Ana M. Cruz, adult witness and photograph maker.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The parties report a joint inspection; signature and attendance still require actual completion below.</w:t>
      </w:r>
    </w:p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  <w:b/>
          <w:bCs/>
          <w:color w:val="102B3F"/>
          <w:sz w:val="26"/>
          <w:szCs w:val="26"/>
        </w:rPr>
        <w:t xml:space="preserve">2. Premises, lease, and baseline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Premises: Unit 2B, 15 Sampaguita Street, Barangay Poblacion, Quezon City 1100, Philippines. Second-floor residential apartment Unit 2B, approximately 45 square meters, including one bedroom, living/dining area, kitchen, bathroom, balcony, storage cabinet, and the fixtures and access listed in this report. Use/type: residential; apartment or condo.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Lease: Residential Lease Agreement, dated August 25, 2026, reference RLA-2B-2026; term recorded from August 30, 2026 through August 29, 2027. Current monthly rent: ₱9,000.00.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Rent-control treatment selected: likely covered 2025 2026. The unit is a residential apartment rented at PHP 9,000 monthly, is not a hotel or motel, and no supported new-unit exclusion is claimed; the lease and unit records were checked against NHSB Resolution No. 2024-01.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Prior baseline: No prior condition report applies because this joint inspection creates the initial baseline immediately before possession and key delivery. Security deposit recorded: ₱18,000.00. PHP 18,000 is to be placed in the lessor's named bank deposit account ending 4821; opening receipt, monthly statements, credited interest, authorized withdrawals, and final balance will be retained and shared for accounting.</w:t>
      </w:r>
    </w:p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  <w:b/>
          <w:bCs/>
          <w:color w:val="102B3F"/>
          <w:sz w:val="26"/>
          <w:szCs w:val="26"/>
        </w:rPr>
        <w:t xml:space="preserve">3. Method, evidence integrity, and privacy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Inspection method: Joint clockwise room-by-room visual inspection under daylight and installed lighting, with wide and close photographs, one-meter reference where useful, safe operation of accessible fixtures, and no destructive or concealed-system testing.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Access and limitations: The locked building electrical service room and concealed wall, ceiling, plumbing, and structural cavities were inaccessible; no omitted area is represented as inspected, and all not-applicable items are marked N/A. Visual, non-invasive observations only; concealed systems, structural capacity, code compliance, contamination, infestation, and specialist equipment were not certified.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Media package: 18 photograph(s) and 1 video(s). Maker/competent identifier: Ana M. Cruz made all 18 photographs and one continuous walk-through video on the identified device and can explain when, where, and how each file was produced. Index: PH-001 exterior/front door; PH-002 entry floor; PH-003-005 living walls/ceiling/floor; PH-006-009 kitchen; PH-010-012 bathroom; PH-013-014 bedroom; PH-015 electric meter; PH-016 water meter; PH-017 keys; PH-018 balcony; VID-001 clockwise walkthrough. Each index entry includes original filename, timestamp, issue ID, and description.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Preservation: Preserve camera originals and metadata in read-only folders, compute and record SHA-256 hashes for the signed export package, retain exact PDF/DOCX versions and delivery messages, back up to two controlled locations, and disclose any derivative crop or redaction. Privacy: Frame only the premises and relevant fixtures; exclude faces, the minor child, IDs, mail, screens, medicines, banking records, and unrelated belongings; use a narrowly cropped derivative only when necessary and keep originals access-restricted for lease, repair, or dispute purposes.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This is a non-invasive factual record, not an engineering, electrical, plumbing, fire, environmental, pest, mold, valuation, or code-compliance certificate. A photograph is evidence of what it accurately depicts, not proof of a concealed cause, cost, fault, or legal conclusion.</w:t>
      </w:r>
    </w:p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  <w:b/>
          <w:bCs/>
          <w:color w:val="102B3F"/>
          <w:sz w:val="26"/>
          <w:szCs w:val="26"/>
        </w:rPr>
        <w:t xml:space="preserve">4. Overall condition and urgent issues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Overall observed grade: good. Scale used: Excellent means new-like with no material defect; good means fully usable with minor disclosed marks; fair means usable with specific wear/repair items; poor means material defects; unsafe/unassessed requires access restriction or specialist review.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The apartment was vacant, freshly swept, and usable at inspection. Minor disclosed paint scuffs and one loose kitchen cabinet hinge are recorded; no active leak or exposed wiring was observed during the limited visual and safe functional checks.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Cleanliness and odors: Floors and fixtures were visibly clean with no smoke, pet, chemical, sewer, or persistent damp odor observed during the inspection. Moisture/pest indicators: No active dripping, visible mold-like growth, droppings, rodents, or insects were observed; an old dry water stain above the bathroom door is indexed as Issue I-02 for monitoring.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Observed safety devices and test limits: One smoke alarm was observed at the hallway and its test button sounded; one tagged extinguisher was observed near the kitchen; exits were visually unobstructed. Battery life, internal condition, code compliance, and system integration were not certified.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No urgent hazard is affirmatively reported in this visual inspection; this is not a safety certification.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No separate specialist inspection is recorded as recommended by this report; later evidence may change that assessment.</w:t>
      </w:r>
    </w:p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  <w:b/>
          <w:bCs/>
          <w:color w:val="102B3F"/>
          <w:sz w:val="26"/>
          <w:szCs w:val="26"/>
        </w:rPr>
        <w:t xml:space="preserve">5. Area-by-area condition schedule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Exterior and entry: Exterior corridor dry and unobstructed; front door and frame intact; peephole clear; door closer working; two small paint chips at lower frame recorded in PH-001 as pre-existing.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Walls, ceilings, floors, and finishes: Paint generally good; three small living-room scuffs at 0.8 meters recorded PH-003/I-01; tiles intact and level by visual observation; no loose floor tile observed; dry historic stain above bathroom door is I-02.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Doors, windows, locks, and access: Front deadbolt, knob lock, bedroom latch, bathroom privacy latch, two sliding windows, and screens operated during safe checks; no cracked glass; balcony-door lower seal shows disclosed wear in PH-018.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Kitchen: Counter and sink clean; tap and drain operated without observed active leak; two-burner range exterior clean but fuel connection not tested; lower cabinet hinge loose and indexed I-03; cabinet contents empty.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Bathroom: Toilet flushed once; basin and shower taps ran and drained; seals appeared intact; mirror has one 1-centimeter edge chip PH-011; exhaust fan sounded during switch test; concealed waterproofing was not assessed.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Living, dining, bedrooms, and work areas: Living/dining area empty and usable; bedroom closet clean with two shelves and hanging rod; installed curtain rods intact; no furniture is included except the inventory-listed dining table and two chairs.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Visible electrical: Visible panel cover intact and labeled; accessible switches, lights, and selected outlets were checked with a simple plug-in lamp where safe; no cover was removed and load, grounding, insulation, concealed wiring, and code compliance were not tested.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Visible plumbing: Visible taps, toilet, sink traps, and drains were observed during limited flow tests; no active leak was seen; concealed pipes, pressure under varying demand, sewer condition, and water quality were not assessed.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Ventilation and cooling: Two window fans operated at inspection; one split air-conditioning unit powered on and produced cool air for five minutes; filter needs routine cleaning; refrigerant, drainage under extended use, efficiency, and internal condition were not certified.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Appliances, furniture, and included fixtures: Refrigerator model RF100 serial SN-8821 powered and cooled during a brief check; dining table and two chairs show minor ordinary scratches; range connection not tested; all included items are separately listed and photographed.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Fire/life safety and accessibility: Hallway and front door were unobstructed; smoke alarm test button sounded; extinguisher visually present with tag; no fire-system, emergency-light, accessibility, structural, or legal compliance certification is made.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Parking, storage, and common areas: No parking slot is included. One hallway storage cabinet is included, empty, with working latch; lobby, stairs, and common corridor were visually passable but are not exclusively controlled by either party.</w:t>
      </w:r>
    </w:p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  <w:b/>
          <w:bCs/>
          <w:color w:val="102B3F"/>
          <w:sz w:val="26"/>
          <w:szCs w:val="26"/>
        </w:rPr>
        <w:t xml:space="preserve">6. Inventory, meters, keys, and records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Inventory: INV-01 refrigerator RF100, quantity 1, good, serial SN-8821, trays 3, PH-006; INV-02 dining table, quantity 1, good with minor top scratches, PH-004; INV-03 dining chairs, quantity 2, good with minor wear, PH-004; INV-04 split AC with remote, quantity 1 each, working in brief check, PH-014; INV-05 extinguisher, quantity 1, observed/tagged, PH-009.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Unique identifiers: Refrigerator RF100 serial SN-8821; split AC indoor unit AC-IN-552 and outdoor unit AC-OUT-552; electric meter EM-22018; water submeter WM-2B-091; access card AC-2B-1.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Electric: Meter EM-22018, reading 12,445.6 kWh at 10:42 AM on 30 August 2026, photographed PH-015 with unit and display visible. Water: Submeter WM-2B-091, reading 338.2 cubic meters at 10:45 AM on 30 August 2026, photographed PH-016. Gas/other: N/A—no individual gas meter or other metered utility was represented as included in the premises.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Keys and access devices: Two front-door keys K-2B-1 and K-2B-2, one mailbox key MB-2B-1, and one access card AC-2B-1 were checked working, photographed PH-017, and delivered to Juan D. Reyes after signatures.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Manuals and records: Building house rules version 2026-02, refrigerator quick guide, AC remote guide, meter-reading sheet, emergency contact list, and one signed copy of this report and attachment index delivered to each party.</w:t>
      </w:r>
    </w:p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  <w:b/>
          <w:bCs/>
          <w:color w:val="102B3F"/>
          <w:sz w:val="26"/>
          <w:szCs w:val="26"/>
        </w:rPr>
        <w:t xml:space="preserve">7. Issue, repair, and response schedule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Classifications used: pre-existing; lessor repair/maintenance; uncertain cause. Responsibility status: agreed.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I-01 living-room paint scuffs, pre-existing, PH-003, no immediate repair, reassess at return. I-02 old dry stain above bathroom door, uncertain historic cause, PH-012, lessor to inspect after first heavy rain by 15 September 2026. I-03 loose lower kitchen cabinet hinge, lessor repair, PH-008, tighten or replace by 7 September 2026 with completion photograph and tenant confirmation.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Access and target dates: The lessee will provide reasonable scheduled access after at least 24 hours' notice except a genuine emergency; I-03 target is 7 September and I-02 inspection target is 15 September, with dated completion photographs, invoice if any, and tenant acknowledgment.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Party comments or disputes: Both parties agree the listed observations create the initial visual baseline; neither party reports an additional disputed item at signing, and a dated supported correction may be delivered within three calendar days without overwriting the original.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 classification is an inspection record, not a final determination of causation, negligence, lease breach, cost, deposit entitlement, or waiver. Urgent risks require immediate protection and notice; disputed or technical causes require suitable evidence and specialist review.</w:t>
      </w:r>
    </w:p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  <w:b/>
          <w:bCs/>
          <w:color w:val="102B3F"/>
          <w:sz w:val="26"/>
          <w:szCs w:val="26"/>
        </w:rPr>
        <w:t xml:space="preserve">8. Acknowledgment and complete record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Signatures acknowledge attendance, receipt, and the listed visual observations, inventory, readings, comments, and attachment index only; they do not waive hidden defects, lawful rights, ordinary wear, repair duties, proof requirements, or later good-faith correction supported by evidence.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Attachments forming this record: Signed report; media index PH-001 to PH-018 and VID-001 with hashes; inventory/serial schedule; meter sheet; key/access receipt; issue/repair schedule; house rules; and identical-copy delivery receipts.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Identical-copy delivery: Provide each party the signed paper report and a hash-matched PDF with indexed attachments by verified email on 30 August 2026, preserving sent-message metadata, acknowledgments, and the unaltered originals.</w:t>
      </w:r>
    </w:p>
    <w:p>
      <w:pPr>
        <w:keepNext/>
        <w:spacing w:after="260" w:before="3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Use reliable electronic or wet-ink signatures linked to the exact final report and attachment package.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type="dxa" w:w="100"/>
              <w:left w:type="dxa" w:w="0"/>
              <w:bottom w:type="dxa" w:w="160"/>
              <w:right w:type="dxa" w:w="240"/>
            </w:tcMar>
          </w:tcPr>
          <w:p>
            <w:pPr>
              <w:spacing w:after="50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LESSOR / AUTHORIZED REPRESENTATIVE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Maria L. Santos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Lessor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Date: ______________________________</w:t>
            </w:r>
          </w:p>
        </w:tc>
        <w:tc>
          <w:tcPr>
            <w:tcW w:type="dxa" w:w="4680"/>
            <w:tcMar>
              <w:top w:type="dxa" w:w="100"/>
              <w:left w:type="dxa" w:w="0"/>
              <w:bottom w:type="dxa" w:w="160"/>
              <w:right w:type="dxa" w:w="240"/>
            </w:tcMar>
          </w:tcPr>
          <w:p>
            <w:pPr>
              <w:spacing w:after="50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LESSEE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Juan D. Reyes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Lessee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Date: ______________________________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0"/>
              <w:bottom w:type="dxa" w:w="160"/>
              <w:right w:type="dxa" w:w="240"/>
            </w:tcMar>
          </w:tcPr>
          <w:p>
            <w:pPr>
              <w:spacing w:after="50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WITNESS / MEDIA MAKER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Ana M. Cruz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Attended the inspection and made or witnessed the listed photographs and videos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Date: ______________________________</w:t>
            </w:r>
          </w:p>
        </w:tc>
        <w:tc>
          <w:tcPr>
            <w:tcW w:type="dxa" w:w="4680"/>
            <w:tcMar>
              <w:top w:type="dxa" w:w="100"/>
              <w:left w:type="dxa" w:w="0"/>
              <w:bottom w:type="dxa" w:w="160"/>
              <w:right w:type="dxa" w:w="240"/>
            </w:tcMar>
          </w:tcPr>
          <w:p>
            <w:pPr>
              <w:spacing w:after="50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/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  <w:b/>
          <w:bCs/>
          <w:color w:val="102B3F"/>
          <w:sz w:val="26"/>
          <w:szCs w:val="26"/>
        </w:rPr>
        <w:t xml:space="preserve">LATE COMMENTS / CORRECTION RECEIPT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Party: ____________________    Date/time received: ____________________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Item/issue/photo reference and requested correction: ____________________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Supporting evidence attached: ____________________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Other party's response and resulting agreed revision, if any: ____________________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Never overwrite the signed original. Add a dated, versioned correction signed or acknowledged by the affected parties.</w:t>
      </w:r>
    </w:p>
    <w:p>
      <w:pPr>
        <w:pStyle w:val="Heading2"/>
        <w:keepNext/>
        <w:pageBreakBefore/>
        <w:spacing w:after="140"/>
      </w:pPr>
      <w:r>
        <w:rPr>
          <w:rFonts w:ascii="Calibri" w:cs="Calibri" w:eastAsia="Calibri" w:hAnsi="Calibri"/>
          <w:b/>
          <w:bCs/>
          <w:color w:val="102B3F"/>
          <w:sz w:val="26"/>
          <w:szCs w:val="26"/>
        </w:rPr>
        <w:t xml:space="preserve">LAW.PH PRE-SIGNING GUIDANCE — NOT PART OF THE EXECUTION INSTRUMENT</w:t>
      </w:r>
    </w:p>
    <w:p>
      <w:pPr>
        <w:keepNext/>
        <w:spacing w:after="220" w:line="252"/>
      </w:pPr>
      <w:r>
        <w:rPr>
          <w:rFonts w:ascii="Calibri" w:cs="Calibri" w:eastAsia="Calibri" w:hAnsi="Calibri"/>
          <w:b/>
          <w:bCs/>
          <w:color w:val="8A5A12"/>
          <w:sz w:val="20"/>
          <w:szCs w:val="20"/>
        </w:rPr>
        <w:t xml:space="preserve">The draft instrument ends before this page. The checklist and legal-source record that follow are preparation guidance only: they are not promises, recitals, schedules, annexes, exhibits, attestations, acknowledgments, jurats, or other operative parts of the instrument, and they must not be included in its execution page count.</w:t>
      </w:r>
    </w:p>
    <w:p>
      <w:pPr>
        <w:pStyle w:val="Heading2"/>
        <w:keepNext/>
        <w:spacing w:after="140" w:before="120"/>
      </w:pPr>
      <w:r>
        <w:rPr>
          <w:rFonts w:ascii="Calibri" w:cs="Calibri" w:eastAsia="Calibri" w:hAnsi="Calibri"/>
          <w:b/>
          <w:bCs/>
          <w:color w:val="102B3F"/>
          <w:sz w:val="26"/>
          <w:szCs w:val="26"/>
        </w:rPr>
        <w:t xml:space="preserve">PRE-SIGNING CHECKLIST</w:t>
      </w:r>
    </w:p>
    <w:p>
      <w:pPr>
        <w:pStyle w:val="ListParagraph"/>
        <w:keepNext/>
        <w:numPr>
          <w:ilvl w:val="0"/>
          <w:numId w:val="1"/>
        </w:numPr>
        <w:spacing w:after="120" w:line="264"/>
      </w:pPr>
      <w:r>
        <w:rPr>
          <w:rFonts w:ascii="Calibri" w:cs="Calibri" w:eastAsia="Calibri" w:hAnsi="Calibri"/>
          <w:sz w:val="22"/>
          <w:szCs w:val="22"/>
        </w:rPr>
        <w:t xml:space="preserve">Inspect in adequate light and safe conditions; record exact date/time, attendees, weather or occupancy limitations, inaccessible areas, and every N/A rather than leaving unexplained blanks.</w:t>
      </w:r>
    </w:p>
    <w:p>
      <w:pPr>
        <w:pStyle w:val="ListParagraph"/>
        <w:keepNext/>
        <w:numPr>
          <w:ilvl w:val="0"/>
          <w:numId w:val="1"/>
        </w:numPr>
        <w:spacing w:after="120" w:line="264"/>
      </w:pPr>
      <w:r>
        <w:rPr>
          <w:rFonts w:ascii="Calibri" w:cs="Calibri" w:eastAsia="Calibri" w:hAnsi="Calibri"/>
          <w:sz w:val="22"/>
          <w:szCs w:val="22"/>
        </w:rPr>
        <w:t xml:space="preserve">Use one durable issue ID across narrative, photograph/video index, repair request, quote, invoice, follow-up, and deposit accounting.</w:t>
      </w:r>
    </w:p>
    <w:p>
      <w:pPr>
        <w:pStyle w:val="ListParagraph"/>
        <w:keepNext/>
        <w:numPr>
          <w:ilvl w:val="0"/>
          <w:numId w:val="1"/>
        </w:numPr>
        <w:spacing w:after="120" w:line="264"/>
      </w:pPr>
      <w:r>
        <w:rPr>
          <w:rFonts w:ascii="Calibri" w:cs="Calibri" w:eastAsia="Calibri" w:hAnsi="Calibri"/>
          <w:sz w:val="22"/>
          <w:szCs w:val="22"/>
        </w:rPr>
        <w:t xml:space="preserve">Capture wide context and close detail with a scale where useful; identify who made each recording and preserve original files, metadata, exact export, hashes where used, and read-only backups.</w:t>
      </w:r>
    </w:p>
    <w:p>
      <w:pPr>
        <w:pStyle w:val="ListParagraph"/>
        <w:keepNext/>
        <w:numPr>
          <w:ilvl w:val="0"/>
          <w:numId w:val="1"/>
        </w:numPr>
        <w:spacing w:after="120" w:line="264"/>
      </w:pPr>
      <w:r>
        <w:rPr>
          <w:rFonts w:ascii="Calibri" w:cs="Calibri" w:eastAsia="Calibri" w:hAnsi="Calibri"/>
          <w:sz w:val="22"/>
          <w:szCs w:val="22"/>
        </w:rPr>
        <w:t xml:space="preserve">Minimize personal data in media; avoid faces, minors, IDs, mail, screens, medicines, and unrelated belongings, and restrict sharing to the legitimate lease/repair/dispute purpose.</w:t>
      </w:r>
    </w:p>
    <w:p>
      <w:pPr>
        <w:pStyle w:val="ListParagraph"/>
        <w:keepNext/>
        <w:numPr>
          <w:ilvl w:val="0"/>
          <w:numId w:val="1"/>
        </w:numPr>
        <w:spacing w:after="120" w:line="264"/>
      </w:pPr>
      <w:r>
        <w:rPr>
          <w:rFonts w:ascii="Calibri" w:cs="Calibri" w:eastAsia="Calibri" w:hAnsi="Calibri"/>
          <w:sz w:val="22"/>
          <w:szCs w:val="22"/>
        </w:rPr>
        <w:t xml:space="preserve">For urgent electrical, gas, fire, structural, active-water, sanitation, access, or habitability concerns, protect people and property, notify promptly, restrict unsafe use, and use the proper emergency or qualified-specialist route.</w:t>
      </w:r>
    </w:p>
    <w:p>
      <w:pPr>
        <w:pStyle w:val="ListParagraph"/>
        <w:keepNext/>
        <w:numPr>
          <w:ilvl w:val="0"/>
          <w:numId w:val="1"/>
        </w:numPr>
        <w:spacing w:after="120" w:line="264"/>
      </w:pPr>
      <w:r>
        <w:rPr>
          <w:rFonts w:ascii="Calibri" w:cs="Calibri" w:eastAsia="Calibri" w:hAnsi="Calibri"/>
          <w:sz w:val="22"/>
          <w:szCs w:val="22"/>
        </w:rPr>
        <w:t xml:space="preserve">At move-out, compare each claimed change to the signed baseline and account for ordinary wear, lapse of time, inevitable cause, pre-existing condition, repairs, age/useful life, and uncertain causation.</w:t>
      </w:r>
    </w:p>
    <w:p>
      <w:pPr>
        <w:pStyle w:val="ListParagraph"/>
        <w:keepNext/>
        <w:numPr>
          <w:ilvl w:val="0"/>
          <w:numId w:val="1"/>
        </w:numPr>
        <w:spacing w:after="120" w:line="264"/>
      </w:pPr>
      <w:r>
        <w:rPr>
          <w:rFonts w:ascii="Calibri" w:cs="Calibri" w:eastAsia="Calibri" w:hAnsi="Calibri"/>
          <w:sz w:val="22"/>
          <w:szCs w:val="22"/>
        </w:rPr>
        <w:t xml:space="preserve">For a currently covered residential unit, recheck the two-month deposit cap, bank placement, accrued interest, unpaid utilities/rent, and deductions commensurate with supported pecuniary damage under current law.</w:t>
      </w:r>
    </w:p>
    <w:p>
      <w:pPr>
        <w:pStyle w:val="ListParagraph"/>
        <w:keepNext/>
        <w:numPr>
          <w:ilvl w:val="0"/>
          <w:numId w:val="1"/>
        </w:numPr>
        <w:spacing w:after="120" w:line="264"/>
      </w:pPr>
      <w:r>
        <w:rPr>
          <w:rFonts w:ascii="Calibri" w:cs="Calibri" w:eastAsia="Calibri" w:hAnsi="Calibri"/>
          <w:sz w:val="22"/>
          <w:szCs w:val="22"/>
        </w:rPr>
        <w:t xml:space="preserve">Label estimates as estimates and invoices as incurred costs; preserve quotes, invoices, receipts, payment proof, photographs, age/useful-life basis, and completion evidence for every proposed deduction.</w:t>
      </w:r>
    </w:p>
    <w:p>
      <w:pPr>
        <w:pStyle w:val="ListParagraph"/>
        <w:keepNext/>
        <w:numPr>
          <w:ilvl w:val="0"/>
          <w:numId w:val="1"/>
        </w:numPr>
        <w:spacing w:after="120" w:line="264"/>
      </w:pPr>
      <w:r>
        <w:rPr>
          <w:rFonts w:ascii="Calibri" w:cs="Calibri" w:eastAsia="Calibri" w:hAnsi="Calibri"/>
          <w:sz w:val="22"/>
          <w:szCs w:val="22"/>
        </w:rPr>
        <w:t xml:space="preserve">Give both parties the same signed report and exact attachment set, a practical correction deadline, and a written route to dispute an observation or proposed accounting without altering the original.</w:t>
      </w:r>
    </w:p>
    <w:p>
      <w:pPr>
        <w:pStyle w:val="ListParagraph"/>
        <w:keepNext w:val="false"/>
        <w:numPr>
          <w:ilvl w:val="0"/>
          <w:numId w:val="1"/>
        </w:numPr>
        <w:spacing w:after="120" w:line="264"/>
      </w:pPr>
      <w:r>
        <w:rPr>
          <w:rFonts w:ascii="Calibri" w:cs="Calibri" w:eastAsia="Calibri" w:hAnsi="Calibri"/>
          <w:sz w:val="22"/>
          <w:szCs w:val="22"/>
        </w:rPr>
        <w:t xml:space="preserve">A condition report supports evidence but does not itself establish code compliance, technical cause, legal fault, repair responsibility, eviction, deposit forfeiture, or the admissibility or weight of evidence.</w:t>
      </w:r>
    </w:p>
    <w:p>
      <w:pPr>
        <w:pStyle w:val="Heading2"/>
        <w:keepNext/>
        <w:pageBreakBefore/>
        <w:spacing w:after="140"/>
      </w:pPr>
      <w:r>
        <w:rPr>
          <w:rFonts w:ascii="Calibri" w:cs="Calibri" w:eastAsia="Calibri" w:hAnsi="Calibri"/>
          <w:b/>
          <w:bCs/>
          <w:color w:val="102B3F"/>
          <w:sz w:val="26"/>
          <w:szCs w:val="26"/>
        </w:rPr>
        <w:t xml:space="preserve">TEMPLATE AND LEGAL SOURCE RECORD — NOT PART OF THE INSTRUMENT</w:t>
      </w:r>
    </w:p>
    <w:p>
      <w:pPr>
        <w:spacing w:after="220" w:line="240"/>
      </w:pPr>
      <w:r>
        <w:rPr>
          <w:rFonts w:ascii="Calibri" w:cs="Calibri" w:eastAsia="Calibri" w:hAnsi="Calibri"/>
          <w:color w:val="566674"/>
          <w:sz w:val="18"/>
          <w:szCs w:val="18"/>
        </w:rPr>
        <w:t xml:space="preserve">Template v0.2.0 | Republic of the Philippines | Effective 2026-08-30 through 2026-12-31 | Independent Philippine lawyer review pending | Last legal check 2026-10-01 | Next review due 2026-11-01</w:t>
      </w:r>
    </w:p>
    <w:p>
      <w:pPr>
        <w:keepNext/>
        <w:spacing w:after="60" w:before="100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Republic Act No. 386 — Civil Code of the Philippines - Articles 1654, 1657, 1661–1668, and 1678 on delivery and repairs, prudent use, urgent repair notice, return condition, ordinary wear, baseline presumption, deterioration, household/guest damage, and improvements (checked 2026-08-30)</w:t>
      </w:r>
    </w:p>
    <w:p>
      <w:pPr>
        <w:spacing w:after="120"/>
      </w:pPr>
      <w:hyperlink w:history="1" r:id="rIdn-ihjgaosukrz5g7yzafv">
        <w:r>
          <w:rPr>
            <w:rFonts w:ascii="Calibri" w:cs="Calibri" w:eastAsia="Calibri" w:hAnsi="Calibri"/>
            <w:color w:val="315B75"/>
            <w:sz w:val="17"/>
            <w:szCs w:val="17"/>
            <w:u w:val="single"/>
          </w:rPr>
          <w:t xml:space="preserve">https://lawphil.net/statutes/repacts/ra1949/ra_386_1949.html</w:t>
        </w:r>
      </w:hyperlink>
    </w:p>
    <w:p>
      <w:pPr>
        <w:keepNext/>
        <w:spacing w:after="60" w:before="100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Republic Act No. 9653 — Rent Control Act of 2009 - Section 3 (covered residential units); Section 7 (deposit cap, bank placement, interest, and deductions commensurate with unpaid rent or utilities or damage to house components and accessories); Section 12 (Civil Code and Rules of Court apply) (checked 2026-10-01)</w:t>
      </w:r>
    </w:p>
    <w:p>
      <w:pPr>
        <w:spacing w:after="120"/>
      </w:pPr>
      <w:hyperlink w:history="1" r:id="rIdukgv6x2hwyvrz5wmlfnkr">
        <w:r>
          <w:rPr>
            <w:rFonts w:ascii="Calibri" w:cs="Calibri" w:eastAsia="Calibri" w:hAnsi="Calibri"/>
            <w:color w:val="315B75"/>
            <w:sz w:val="17"/>
            <w:szCs w:val="17"/>
            <w:u w:val="single"/>
          </w:rPr>
          <w:t xml:space="preserve">https://lawphil.net/statutes/repacts/ra2009/ra_9653_2009.html</w:t>
        </w:r>
      </w:hyperlink>
    </w:p>
    <w:p>
      <w:pPr>
        <w:keepNext/>
        <w:spacing w:after="60" w:before="100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National Human Settlements Board Resolution No. 2024-01 (certified copy filed with ONAR) - Current 2025–2026 coverage period, PHP 10,000 threshold, same-lessee increase limits, vacancy treatment, and new-unit exclusion (checked 2026-10-01)</w:t>
      </w:r>
    </w:p>
    <w:p>
      <w:pPr>
        <w:spacing w:after="120"/>
      </w:pPr>
      <w:hyperlink w:history="1" r:id="rId6rfdvuhhavu-ra-qcodpy">
        <w:r>
          <w:rPr>
            <w:rFonts w:ascii="Calibri" w:cs="Calibri" w:eastAsia="Calibri" w:hAnsi="Calibri"/>
            <w:color w:val="315B75"/>
            <w:sz w:val="17"/>
            <w:szCs w:val="17"/>
            <w:u w:val="single"/>
          </w:rPr>
          <w:t xml:space="preserve">https://naro.law.upd.edu.ph/issuances/4495</w:t>
        </w:r>
      </w:hyperlink>
    </w:p>
    <w:p>
      <w:pPr>
        <w:keepNext/>
        <w:spacing w:after="60" w:before="100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A.M. No. 01-7-01-SC — Rules on Electronic Evidence - Integrity and authentication of electronic documents and identification, explanation, or authentication of audio, photographic, and video evidence by a competent person (checked 2026-08-30)</w:t>
      </w:r>
    </w:p>
    <w:p>
      <w:pPr>
        <w:spacing w:after="120"/>
      </w:pPr>
      <w:hyperlink w:history="1" r:id="rIdanvhr_eivozmo_55ufagr">
        <w:r>
          <w:rPr>
            <w:rFonts w:ascii="Calibri" w:cs="Calibri" w:eastAsia="Calibri" w:hAnsi="Calibri"/>
            <w:color w:val="315B75"/>
            <w:sz w:val="17"/>
            <w:szCs w:val="17"/>
            <w:u w:val="single"/>
          </w:rPr>
          <w:t xml:space="preserve">https://lawphil.net/courts/supreme/am/am_01-7-01_sc_2001.html</w:t>
        </w:r>
      </w:hyperlink>
    </w:p>
    <w:p>
      <w:pPr>
        <w:keepNext/>
        <w:spacing w:after="60" w:before="100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A.M. No. 19-08-15-SC — 2019 Amendments to the Revised Rules on Evidence - Documentary evidence includes photographs and videos; original-document and duplicate treatment for stored images and electronic records (checked 2026-08-30)</w:t>
      </w:r>
    </w:p>
    <w:p>
      <w:pPr>
        <w:spacing w:after="120"/>
      </w:pPr>
      <w:hyperlink w:history="1" r:id="rIdkn7sdwqdefrbvjnarq_nf">
        <w:r>
          <w:rPr>
            <w:rFonts w:ascii="Calibri" w:cs="Calibri" w:eastAsia="Calibri" w:hAnsi="Calibri"/>
            <w:color w:val="315B75"/>
            <w:sz w:val="17"/>
            <w:szCs w:val="17"/>
            <w:u w:val="single"/>
          </w:rPr>
          <w:t xml:space="preserve">https://lawphil.net/courts/rules/am_19-08-15-sc_2019.html</w:t>
        </w:r>
      </w:hyperlink>
    </w:p>
    <w:p>
      <w:pPr>
        <w:keepNext/>
        <w:spacing w:after="60" w:before="100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NPC Reminder on Sharing Photos and Videos Containing Personal Data - Lawful basis and transparency, legitimate-purpose, and proportionality principles for photos and videos containing personal information (checked 2026-08-30)</w:t>
      </w:r>
    </w:p>
    <w:p>
      <w:pPr>
        <w:spacing w:after="120"/>
      </w:pPr>
      <w:hyperlink w:history="1" r:id="rIdtvoerccir1kzxgarx7ra3">
        <w:r>
          <w:rPr>
            <w:rFonts w:ascii="Calibri" w:cs="Calibri" w:eastAsia="Calibri" w:hAnsi="Calibri"/>
            <w:color w:val="315B75"/>
            <w:sz w:val="17"/>
            <w:szCs w:val="17"/>
            <w:u w:val="single"/>
          </w:rPr>
          <w:t xml:space="preserve">https://privacy.gov.ph/reminder-on-sharing-photos-and-videos-containing-personal-data/</w:t>
        </w:r>
      </w:hyperlink>
    </w:p>
    <w:p>
      <w:pPr>
        <w:keepNext/>
        <w:spacing w:after="60" w:before="100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Republic Act No. 8792 — Electronic Commerce Act - Sections 6–8 on legal recognition, integrity, reliability, authentication, and electronic signatures (checked 2026-08-30)</w:t>
      </w:r>
    </w:p>
    <w:p>
      <w:pPr>
        <w:spacing w:after="120"/>
      </w:pPr>
      <w:hyperlink w:history="1" r:id="rIdcicj5ez1qdwtj4eihkmjl">
        <w:r>
          <w:rPr>
            <w:rFonts w:ascii="Calibri" w:cs="Calibri" w:eastAsia="Calibri" w:hAnsi="Calibri"/>
            <w:color w:val="315B75"/>
            <w:sz w:val="17"/>
            <w:szCs w:val="17"/>
            <w:u w:val="single"/>
          </w:rPr>
          <w:t xml:space="preserve">https://lawphil.net/statutes/repacts/ra2000/ra_8792_2000.html</w:t>
        </w:r>
      </w:hyperlink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87783"/>
        <w:sz w:val="16"/>
        <w:szCs w:val="16"/>
      </w:rPr>
      <w:t xml:space="preserve">LAW.PH · Template v0.2.0 · REVIEW PENDING · Page </w:t>
    </w:r>
    <w:r>
      <w:rPr>
        <w:color w:val="687783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Calibri" w:cs="Calibri" w:eastAsia="Calibri" w:hAnsi="Calibri"/>
      <w:b/>
      <w:bCs/>
      <w:color w:val="102B3F"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ihjgaosukrz5g7yzafv" Type="http://schemas.openxmlformats.org/officeDocument/2006/relationships/hyperlink" Target="https://lawphil.net/statutes/repacts/ra1949/ra_386_1949.html" TargetMode="External"/><Relationship Id="rIdukgv6x2hwyvrz5wmlfnkr" Type="http://schemas.openxmlformats.org/officeDocument/2006/relationships/hyperlink" Target="https://lawphil.net/statutes/repacts/ra2009/ra_9653_2009.html" TargetMode="External"/><Relationship Id="rId6rfdvuhhavu-ra-qcodpy" Type="http://schemas.openxmlformats.org/officeDocument/2006/relationships/hyperlink" Target="https://naro.law.upd.edu.ph/issuances/4495" TargetMode="External"/><Relationship Id="rIdanvhr_eivozmo_55ufagr" Type="http://schemas.openxmlformats.org/officeDocument/2006/relationships/hyperlink" Target="https://lawphil.net/courts/supreme/am/am_01-7-01_sc_2001.html" TargetMode="External"/><Relationship Id="rIdkn7sdwqdefrbvjnarq_nf" Type="http://schemas.openxmlformats.org/officeDocument/2006/relationships/hyperlink" Target="https://lawphil.net/courts/rules/am_19-08-15-sc_2019.html" TargetMode="External"/><Relationship Id="rIdtvoerccir1kzxgarx7ra3" Type="http://schemas.openxmlformats.org/officeDocument/2006/relationships/hyperlink" Target="https://privacy.gov.ph/reminder-on-sharing-photos-and-videos-containing-personal-data/" TargetMode="External"/><Relationship Id="rIdcicj5ez1qdwtj4eihkmjl" Type="http://schemas.openxmlformats.org/officeDocument/2006/relationships/hyperlink" Target="https://lawphil.net/statutes/repacts/ra2000/ra_8792_2000.html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MOVE-IN INVENTORY AND CONDITION REPORT</dc:title>
  <dc:creator>LAW.PH</dc:creator>
  <dc:description>Free sample of the Rental Inventory and Condition Report from LAW.PH, with fictional details</dc:description>
  <cp:lastModifiedBy>Un-named</cp:lastModifiedBy>
  <cp:revision>1</cp:revision>
  <dcterms:created xsi:type="dcterms:W3CDTF">2026-10-02T05:29:57.149Z</dcterms:created>
  <dcterms:modified xsi:type="dcterms:W3CDTF">2026-10-02T05:29:57.149Z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