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RESIDENTIAL LEASE AGREEMENT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Residential Lease Agreement (the “Lease”) is made on August 29, 2026 between Maria L. Santos, with notice address at 100 Ayala Avenue, Makati City 1226, as “Lessor,” and Juan Dela Cruz, with current address at 20 Session Road, Baguio City 2600, as “Lessee.”</w:t>
      </w:r>
    </w:p>
    <w:p>
      <w:pPr>
        <w:keepLines/>
        <w:spacing w:after="120" w:line="264"/>
        <w:jc w:val="both"/>
      </w:pPr>
      <w:r>
        <w:rPr>
          <w:rFonts w:ascii="Calibri" w:cs="Calibri" w:eastAsia="Calibri" w:hAnsi="Calibri"/>
          <w:sz w:val="22"/>
          <w:szCs w:val="22"/>
        </w:rPr>
        <w:t xml:space="preserve">The Lessor represents that the Lessor is the owner of the Premises and has authority to lease the Premises. The parties agree as follows.</w:t>
      </w:r>
    </w:p>
    <w:p>
      <w:pPr>
        <w:pStyle w:val="Heading2"/>
        <w:keepNext/>
        <w:spacing w:after="120" w:before="240"/>
      </w:pPr>
      <w:r>
        <w:rPr>
          <w:rFonts w:ascii="Calibri" w:cs="Calibri" w:eastAsia="Calibri" w:hAnsi="Calibri"/>
          <w:b/>
          <w:bCs/>
          <w:color w:val="102B3F"/>
          <w:sz w:val="26"/>
          <w:szCs w:val="26"/>
        </w:rPr>
        <w:t xml:space="preserve">1. Premises and residential use</w:t>
      </w:r>
    </w:p>
    <w:p>
      <w:pPr>
        <w:keepLines/>
        <w:spacing w:after="120" w:line="264"/>
        <w:jc w:val="both"/>
      </w:pPr>
      <w:r>
        <w:rPr>
          <w:rFonts w:ascii="Calibri" w:cs="Calibri" w:eastAsia="Calibri" w:hAnsi="Calibri"/>
          <w:sz w:val="22"/>
          <w:szCs w:val="22"/>
        </w:rPr>
        <w:t xml:space="preserve">The Lessor leases to the Lessee the apartment located at Unit 12A, Sampaguita Residences, Makati City 1226, described as Unit 12A with one parking slot P-12 and installed fixtures (the “Premises”). The Premises shall be used only as a private residence and for no unlawful, commercial, hazardous, or nuisance-causing purpose.</w:t>
      </w:r>
    </w:p>
    <w:p>
      <w:pPr>
        <w:keepLines/>
        <w:spacing w:after="120" w:line="264"/>
        <w:jc w:val="both"/>
      </w:pPr>
      <w:r>
        <w:rPr>
          <w:rFonts w:ascii="Calibri" w:cs="Calibri" w:eastAsia="Calibri" w:hAnsi="Calibri"/>
          <w:sz w:val="22"/>
          <w:szCs w:val="22"/>
        </w:rPr>
        <w:t xml:space="preserve">Approved residents: Juan Dela Cruz and Ana Dela Cruz. Occupancy shall not exceed 4 persons, subject to applicable law and reasonable building or subdivision rules disclosed to the Lessee.</w:t>
      </w:r>
    </w:p>
    <w:p>
      <w:pPr>
        <w:pStyle w:val="Heading2"/>
        <w:keepNext/>
        <w:spacing w:after="120" w:before="240"/>
      </w:pPr>
      <w:r>
        <w:rPr>
          <w:rFonts w:ascii="Calibri" w:cs="Calibri" w:eastAsia="Calibri" w:hAnsi="Calibri"/>
          <w:b/>
          <w:bCs/>
          <w:color w:val="102B3F"/>
          <w:sz w:val="26"/>
          <w:szCs w:val="26"/>
        </w:rPr>
        <w:t xml:space="preserve">2. Term; delivery and condition</w:t>
      </w:r>
    </w:p>
    <w:p>
      <w:pPr>
        <w:keepLines/>
        <w:spacing w:after="120" w:line="264"/>
        <w:jc w:val="both"/>
      </w:pPr>
      <w:r>
        <w:rPr>
          <w:rFonts w:ascii="Calibri" w:cs="Calibri" w:eastAsia="Calibri" w:hAnsi="Calibri"/>
          <w:sz w:val="22"/>
          <w:szCs w:val="22"/>
        </w:rPr>
        <w:t xml:space="preserve">The fixed term begins on September 1, 2026 and ends on August 31, 2027, unless earlier terminated under this Lease or applicable law. The Lessor shall deliver the Premises in a condition fit for the intended residential use and maintain the Lessee in peaceful and adequate enjoyment during the term, subject to the Lessee's obligations.</w:t>
      </w:r>
    </w:p>
    <w:p>
      <w:pPr>
        <w:keepLines/>
        <w:spacing w:after="120" w:line="264"/>
        <w:jc w:val="both"/>
      </w:pPr>
      <w:r>
        <w:rPr>
          <w:rFonts w:ascii="Calibri" w:cs="Calibri" w:eastAsia="Calibri" w:hAnsi="Calibri"/>
          <w:sz w:val="22"/>
          <w:szCs w:val="22"/>
        </w:rPr>
        <w:t xml:space="preserve">The parties shall sign an inventory and condition report at turnover. That report, including dated photographs if agreed, forms part of this Lease.</w:t>
      </w:r>
    </w:p>
    <w:p>
      <w:pPr>
        <w:pStyle w:val="Heading2"/>
        <w:keepNext/>
        <w:spacing w:after="120" w:before="240"/>
      </w:pPr>
      <w:r>
        <w:rPr>
          <w:rFonts w:ascii="Calibri" w:cs="Calibri" w:eastAsia="Calibri" w:hAnsi="Calibri"/>
          <w:b/>
          <w:bCs/>
          <w:color w:val="102B3F"/>
          <w:sz w:val="26"/>
          <w:szCs w:val="26"/>
        </w:rPr>
        <w:t xml:space="preserve">3. Rent and payment</w:t>
      </w:r>
    </w:p>
    <w:p>
      <w:pPr>
        <w:keepLines/>
        <w:spacing w:after="120" w:line="264"/>
        <w:jc w:val="both"/>
      </w:pPr>
      <w:r>
        <w:rPr>
          <w:rFonts w:ascii="Calibri" w:cs="Calibri" w:eastAsia="Calibri" w:hAnsi="Calibri"/>
          <w:sz w:val="22"/>
          <w:szCs w:val="22"/>
        </w:rPr>
        <w:t xml:space="preserve">Monthly rent is ₱10,000.00, due in advance on or before day 5 of each month, paid by bank transfer to the account designated by the lessor in writing. The Lessor shall provide a written or electronic acknowledgment sufficient to identify the period and amount paid.</w:t>
      </w:r>
    </w:p>
    <w:p>
      <w:pPr>
        <w:keepLines/>
        <w:spacing w:after="120" w:line="264"/>
        <w:jc w:val="both"/>
      </w:pPr>
      <w:r>
        <w:rPr>
          <w:rFonts w:ascii="Calibri" w:cs="Calibri" w:eastAsia="Calibri" w:hAnsi="Calibri"/>
          <w:sz w:val="22"/>
          <w:szCs w:val="22"/>
        </w:rPr>
        <w:t xml:space="preserve">No rent increase may take effect during the fixed term unless mandatory law permits it and the parties make a valid written amendment. Any renewal increase remains subject to rent-control rules then in force.</w:t>
      </w:r>
    </w:p>
    <w:p>
      <w:pPr>
        <w:pStyle w:val="Heading2"/>
        <w:keepNext/>
        <w:spacing w:after="120" w:before="240"/>
      </w:pPr>
      <w:r>
        <w:rPr>
          <w:rFonts w:ascii="Calibri" w:cs="Calibri" w:eastAsia="Calibri" w:hAnsi="Calibri"/>
          <w:b/>
          <w:bCs/>
          <w:color w:val="102B3F"/>
          <w:sz w:val="26"/>
          <w:szCs w:val="26"/>
        </w:rPr>
        <w:t xml:space="preserve">4. Advance rent and security deposit</w:t>
      </w:r>
    </w:p>
    <w:p>
      <w:pPr>
        <w:keepLines/>
        <w:spacing w:after="120" w:line="264"/>
        <w:jc w:val="both"/>
      </w:pPr>
      <w:r>
        <w:rPr>
          <w:rFonts w:ascii="Calibri" w:cs="Calibri" w:eastAsia="Calibri" w:hAnsi="Calibri"/>
          <w:sz w:val="22"/>
          <w:szCs w:val="22"/>
        </w:rPr>
        <w:t xml:space="preserve">On signing or before turnover, the Lessee shall pay 1 month(s) of advance rent, equal to ₱10,000.00, and 2 month(s) of security deposit, equal to ₱20,000.00. The advance rent shall be applied to the first month of the term.</w:t>
      </w:r>
    </w:p>
    <w:p>
      <w:pPr>
        <w:keepLines/>
        <w:spacing w:after="120" w:line="264"/>
        <w:jc w:val="both"/>
      </w:pPr>
      <w:r>
        <w:rPr>
          <w:rFonts w:ascii="Calibri" w:cs="Calibri" w:eastAsia="Calibri" w:hAnsi="Calibri"/>
          <w:sz w:val="22"/>
          <w:szCs w:val="22"/>
        </w:rPr>
        <w:t xml:space="preserve">The unit is covered by rent control for 2025–2026. As Republic Act No. 9653 requires, the deposit shall be kept in a bank under the Lessor's account during the lease, and accrued interest shall be returned to the Lessee at expiry, subject to lawful deductions commensurate with unpaid rent, utilities, or actual damage attributable to the Lessee beyond ordinary wear and tear. The Lessor shall return the balance, with an itemized accounting, within thirty (30) days after the Lessee surrenders the Premises and the final utility bills are received.</w:t>
      </w:r>
    </w:p>
    <w:p>
      <w:pPr>
        <w:pStyle w:val="Heading2"/>
        <w:keepNext/>
        <w:spacing w:after="120" w:before="240"/>
      </w:pPr>
      <w:r>
        <w:rPr>
          <w:rFonts w:ascii="Calibri" w:cs="Calibri" w:eastAsia="Calibri" w:hAnsi="Calibri"/>
          <w:b/>
          <w:bCs/>
          <w:color w:val="102B3F"/>
          <w:sz w:val="26"/>
          <w:szCs w:val="26"/>
        </w:rPr>
        <w:t xml:space="preserve">5. Utilities and common charges</w:t>
      </w:r>
    </w:p>
    <w:p>
      <w:pPr>
        <w:keepLines/>
        <w:spacing w:after="120" w:line="264"/>
        <w:jc w:val="both"/>
      </w:pPr>
      <w:r>
        <w:rPr>
          <w:rFonts w:ascii="Calibri" w:cs="Calibri" w:eastAsia="Calibri" w:hAnsi="Calibri"/>
          <w:sz w:val="22"/>
          <w:szCs w:val="22"/>
        </w:rPr>
        <w:t xml:space="preserve">Lessee shall pay electricity charges. Lessee shall pay water charges. Lessor shall pay regular association dues. The Lessee remains responsible for services separately contracted in the Lessee's name and for consumption charges allocated to the Lessee under this Lease.</w:t>
      </w:r>
    </w:p>
    <w:p>
      <w:pPr>
        <w:pStyle w:val="Heading2"/>
        <w:keepNext/>
        <w:spacing w:after="120" w:before="240"/>
      </w:pPr>
      <w:r>
        <w:rPr>
          <w:rFonts w:ascii="Calibri" w:cs="Calibri" w:eastAsia="Calibri" w:hAnsi="Calibri"/>
          <w:b/>
          <w:bCs/>
          <w:color w:val="102B3F"/>
          <w:sz w:val="26"/>
          <w:szCs w:val="26"/>
        </w:rPr>
        <w:t xml:space="preserve">6. Repairs, care, and alterations</w:t>
      </w:r>
    </w:p>
    <w:p>
      <w:pPr>
        <w:keepLines/>
        <w:spacing w:after="120" w:line="264"/>
        <w:jc w:val="both"/>
      </w:pPr>
      <w:r>
        <w:rPr>
          <w:rFonts w:ascii="Calibri" w:cs="Calibri" w:eastAsia="Calibri" w:hAnsi="Calibri"/>
          <w:sz w:val="22"/>
          <w:szCs w:val="22"/>
        </w:rPr>
        <w:t xml:space="preserve">The Lessee shall use the Premises with the diligence of a good father of a family, keep it reasonably clean, promptly report damage or needed repairs, and be responsible for damage caused by the Lessee, approved residents, or guests beyond ordinary wear and tear. The Lessor shall make repairs necessary to keep the Premises suitable for residential use, except repairs made necessary by the Lessee's fault, subject to the Civil Code and other applicable law.</w:t>
      </w:r>
    </w:p>
    <w:p>
      <w:pPr>
        <w:keepLines/>
        <w:spacing w:after="120" w:line="264"/>
        <w:jc w:val="both"/>
      </w:pPr>
      <w:r>
        <w:rPr>
          <w:rFonts w:ascii="Calibri" w:cs="Calibri" w:eastAsia="Calibri" w:hAnsi="Calibri"/>
          <w:sz w:val="22"/>
          <w:szCs w:val="22"/>
        </w:rPr>
        <w:t xml:space="preserve">The Lessee shall not make structural changes, material alterations, or installations affecting building systems without the Lessor's prior written consent and any required building or governmental approval.</w:t>
      </w:r>
    </w:p>
    <w:p>
      <w:pPr>
        <w:pStyle w:val="Heading2"/>
        <w:keepNext/>
        <w:spacing w:after="120" w:before="240"/>
      </w:pPr>
      <w:r>
        <w:rPr>
          <w:rFonts w:ascii="Calibri" w:cs="Calibri" w:eastAsia="Calibri" w:hAnsi="Calibri"/>
          <w:b/>
          <w:bCs/>
          <w:color w:val="102B3F"/>
          <w:sz w:val="26"/>
          <w:szCs w:val="26"/>
        </w:rPr>
        <w:t xml:space="preserve">7. Access and inspections</w:t>
      </w:r>
    </w:p>
    <w:p>
      <w:pPr>
        <w:keepLines/>
        <w:spacing w:after="120" w:line="264"/>
        <w:jc w:val="both"/>
      </w:pPr>
      <w:r>
        <w:rPr>
          <w:rFonts w:ascii="Calibri" w:cs="Calibri" w:eastAsia="Calibri" w:hAnsi="Calibri"/>
          <w:sz w:val="22"/>
          <w:szCs w:val="22"/>
        </w:rPr>
        <w:t xml:space="preserve">Except in a genuine emergency, where immediate access is reasonably necessary to prevent injury or material damage, the Lessor shall give at least 24 hours' prior notice before entering at a reasonable time to inspect, make repairs, or show the Premises during the final sixty days of the term. Access shall not unreasonably interfere with the Lessee's peaceful enjoyment.</w:t>
      </w:r>
    </w:p>
    <w:p>
      <w:pPr>
        <w:pStyle w:val="Heading2"/>
        <w:keepNext/>
        <w:spacing w:after="120" w:before="240"/>
      </w:pPr>
      <w:r>
        <w:rPr>
          <w:rFonts w:ascii="Calibri" w:cs="Calibri" w:eastAsia="Calibri" w:hAnsi="Calibri"/>
          <w:b/>
          <w:bCs/>
          <w:color w:val="102B3F"/>
          <w:sz w:val="26"/>
          <w:szCs w:val="26"/>
        </w:rPr>
        <w:t xml:space="preserve">8. Occupancy, pets, assignment, and subletting</w:t>
      </w:r>
    </w:p>
    <w:p>
      <w:pPr>
        <w:keepLines/>
        <w:spacing w:after="120" w:line="264"/>
        <w:jc w:val="both"/>
      </w:pPr>
      <w:r>
        <w:rPr>
          <w:rFonts w:ascii="Calibri" w:cs="Calibri" w:eastAsia="Calibri" w:hAnsi="Calibri"/>
          <w:sz w:val="22"/>
          <w:szCs w:val="22"/>
        </w:rPr>
        <w:t xml:space="preserve">A pet may be kept only with the Lessor's prior written consent and subject to lawful building rules. The Lessee shall not assign this Lease, sublet any part of the Premises, or accept boarders or bedspacers without the Lessor's prior written consent. The Lessee remains responsible for the conduct of approved residents, invitees, and any person admitted by the Lessee.</w:t>
      </w:r>
    </w:p>
    <w:p>
      <w:pPr>
        <w:pStyle w:val="Heading2"/>
        <w:keepNext/>
        <w:spacing w:after="120" w:before="240"/>
      </w:pPr>
      <w:r>
        <w:rPr>
          <w:rFonts w:ascii="Calibri" w:cs="Calibri" w:eastAsia="Calibri" w:hAnsi="Calibri"/>
          <w:b/>
          <w:bCs/>
          <w:color w:val="102B3F"/>
          <w:sz w:val="26"/>
          <w:szCs w:val="26"/>
        </w:rPr>
        <w:t xml:space="preserve">9. Default and lawful remedies</w:t>
      </w:r>
    </w:p>
    <w:p>
      <w:pPr>
        <w:keepLines/>
        <w:spacing w:after="120" w:line="264"/>
        <w:jc w:val="both"/>
      </w:pPr>
      <w:r>
        <w:rPr>
          <w:rFonts w:ascii="Calibri" w:cs="Calibri" w:eastAsia="Calibri" w:hAnsi="Calibri"/>
          <w:sz w:val="22"/>
          <w:szCs w:val="22"/>
        </w:rPr>
        <w:t xml:space="preserve">A material failure to pay rent or perform a substantial obligation, after any notice and opportunity required by law, is a default. The non-defaulting party may use only remedies available under this Lease and Philippine law. Nothing in this Lease authorizes lockout, utility disconnection, seizure of property, physical eviction, or other self-help contrary to law. Ejectment and possession must be pursued through the legally required process.</w:t>
      </w:r>
    </w:p>
    <w:p>
      <w:pPr>
        <w:pStyle w:val="Heading2"/>
        <w:keepNext/>
        <w:spacing w:after="120" w:before="240"/>
      </w:pPr>
      <w:r>
        <w:rPr>
          <w:rFonts w:ascii="Calibri" w:cs="Calibri" w:eastAsia="Calibri" w:hAnsi="Calibri"/>
          <w:b/>
          <w:bCs/>
          <w:color w:val="102B3F"/>
          <w:sz w:val="26"/>
          <w:szCs w:val="26"/>
        </w:rPr>
        <w:t xml:space="preserve">10. Agreed early termination</w:t>
      </w:r>
    </w:p>
    <w:p>
      <w:pPr>
        <w:keepLines/>
        <w:spacing w:after="120" w:line="264"/>
        <w:jc w:val="both"/>
      </w:pPr>
      <w:r>
        <w:rPr>
          <w:rFonts w:ascii="Calibri" w:cs="Calibri" w:eastAsia="Calibri" w:hAnsi="Calibri"/>
          <w:sz w:val="22"/>
          <w:szCs w:val="22"/>
        </w:rPr>
        <w:t xml:space="preserve">The Lessee may request early termination by giving at least 30 days' written notice, paying rent and charges through turnover, and paying an agreed early-termination charge equal to 1 month(s) of rent (₱10,000.00). The charge does not excuse actual obligations accrued before turnover, and it shall be reduced or disregarded to the extent required by mandatory law or to avoid an unlawful penalty. The parties may sign a separate turnover and release agreement.</w:t>
      </w:r>
    </w:p>
    <w:p>
      <w:pPr>
        <w:pStyle w:val="Heading2"/>
        <w:keepNext/>
        <w:spacing w:after="120" w:before="240"/>
      </w:pPr>
      <w:r>
        <w:rPr>
          <w:rFonts w:ascii="Calibri" w:cs="Calibri" w:eastAsia="Calibri" w:hAnsi="Calibri"/>
          <w:b/>
          <w:bCs/>
          <w:color w:val="102B3F"/>
          <w:sz w:val="26"/>
          <w:szCs w:val="26"/>
        </w:rPr>
        <w:t xml:space="preserve">11. Expiry, turnover, and holding over</w:t>
      </w:r>
    </w:p>
    <w:p>
      <w:pPr>
        <w:keepLines/>
        <w:spacing w:after="120" w:line="264"/>
        <w:jc w:val="both"/>
      </w:pPr>
      <w:r>
        <w:rPr>
          <w:rFonts w:ascii="Calibri" w:cs="Calibri" w:eastAsia="Calibri" w:hAnsi="Calibri"/>
          <w:sz w:val="22"/>
          <w:szCs w:val="22"/>
        </w:rPr>
        <w:t xml:space="preserve">At expiry or lawful termination, the Lessee shall vacate, return all keys and access devices, remove personal property, and surrender the Premises in substantially the condition received, ordinary wear and tear excepted. Continued possession does not create a new fixed term by this clause; any implied renewal or other legal effect is governed by the Civil Code and mandatory law.</w:t>
      </w:r>
    </w:p>
    <w:p>
      <w:pPr>
        <w:pStyle w:val="Heading2"/>
        <w:keepNext/>
        <w:spacing w:after="120" w:before="240"/>
      </w:pPr>
      <w:r>
        <w:rPr>
          <w:rFonts w:ascii="Calibri" w:cs="Calibri" w:eastAsia="Calibri" w:hAnsi="Calibri"/>
          <w:b/>
          <w:bCs/>
          <w:color w:val="102B3F"/>
          <w:sz w:val="26"/>
          <w:szCs w:val="26"/>
        </w:rPr>
        <w:t xml:space="preserve">12. Rent-control statement</w:t>
      </w:r>
    </w:p>
    <w:p>
      <w:pPr>
        <w:keepLines/>
        <w:spacing w:after="120" w:line="264"/>
        <w:jc w:val="both"/>
      </w:pPr>
      <w:r>
        <w:rPr>
          <w:rFonts w:ascii="Calibri" w:cs="Calibri" w:eastAsia="Calibri" w:hAnsi="Calibri"/>
          <w:sz w:val="22"/>
          <w:szCs w:val="22"/>
        </w:rPr>
        <w:t xml:space="preserve">The unit is covered by Republic Act No. 9653 and NHSB Resolution No. 2024-01 for 2026: the lease starts in 2026, the monthly rent is not more than PHP 10,000, and the unit is not newly constructed. A vacant unit may have its initial rent set for a new lessee, subject to applicable law. If any fact is inaccurate or the governing rule changes, mandatory law controls.</w:t>
      </w:r>
    </w:p>
    <w:p>
      <w:pPr>
        <w:pStyle w:val="Heading2"/>
        <w:keepNext/>
        <w:spacing w:after="120" w:before="240"/>
      </w:pPr>
      <w:r>
        <w:rPr>
          <w:rFonts w:ascii="Calibri" w:cs="Calibri" w:eastAsia="Calibri" w:hAnsi="Calibri"/>
          <w:b/>
          <w:bCs/>
          <w:color w:val="102B3F"/>
          <w:sz w:val="26"/>
          <w:szCs w:val="26"/>
        </w:rPr>
        <w:t xml:space="preserve">13. Notices</w:t>
      </w:r>
    </w:p>
    <w:p>
      <w:pPr>
        <w:keepLines/>
        <w:spacing w:after="120" w:line="264"/>
        <w:jc w:val="both"/>
      </w:pPr>
      <w:r>
        <w:rPr>
          <w:rFonts w:ascii="Calibri" w:cs="Calibri" w:eastAsia="Calibri" w:hAnsi="Calibri"/>
          <w:sz w:val="22"/>
          <w:szCs w:val="22"/>
        </w:rPr>
        <w:t xml:space="preserve">Notices shall be in writing and delivered personally, by reputable courier, or by email with evidence of transmission. Notices to the Lessor shall be sent to 100 Ayala Avenue, Makati City 1226; notices to the Lessee shall be sent to Unit 12A, Sampaguita Residences, Makati City 1226, or to replacement contact details designated in writing.</w:t>
      </w:r>
    </w:p>
    <w:p>
      <w:pPr>
        <w:pStyle w:val="Heading2"/>
        <w:keepNext/>
        <w:spacing w:after="120" w:before="240"/>
      </w:pPr>
      <w:r>
        <w:rPr>
          <w:rFonts w:ascii="Calibri" w:cs="Calibri" w:eastAsia="Calibri" w:hAnsi="Calibri"/>
          <w:b/>
          <w:bCs/>
          <w:color w:val="102B3F"/>
          <w:sz w:val="26"/>
          <w:szCs w:val="26"/>
        </w:rPr>
        <w:t xml:space="preserve">14. Governing law and venue</w:t>
      </w:r>
    </w:p>
    <w:p>
      <w:pPr>
        <w:keepLines/>
        <w:spacing w:after="120" w:line="264"/>
        <w:jc w:val="both"/>
      </w:pPr>
      <w:r>
        <w:rPr>
          <w:rFonts w:ascii="Calibri" w:cs="Calibri" w:eastAsia="Calibri" w:hAnsi="Calibri"/>
          <w:sz w:val="22"/>
          <w:szCs w:val="22"/>
        </w:rPr>
        <w:t xml:space="preserve">This Lease is governed by the laws of the Republic of the Philippines. Subject to mandatory rules on jurisdiction, actions arising from this Lease shall be filed exclusively in the proper courts of Makati City, to the exclusion of all other courts.</w:t>
      </w:r>
    </w:p>
    <w:p>
      <w:pPr>
        <w:pStyle w:val="Heading2"/>
        <w:keepNext/>
        <w:spacing w:after="120" w:before="240"/>
      </w:pPr>
      <w:r>
        <w:rPr>
          <w:rFonts w:ascii="Calibri" w:cs="Calibri" w:eastAsia="Calibri" w:hAnsi="Calibri"/>
          <w:b/>
          <w:bCs/>
          <w:color w:val="102B3F"/>
          <w:sz w:val="26"/>
          <w:szCs w:val="26"/>
        </w:rPr>
        <w:t xml:space="preserve">15. General terms</w:t>
      </w:r>
    </w:p>
    <w:p>
      <w:pPr>
        <w:keepLines/>
        <w:spacing w:after="120" w:line="264"/>
        <w:jc w:val="both"/>
      </w:pPr>
      <w:r>
        <w:rPr>
          <w:rFonts w:ascii="Calibri" w:cs="Calibri" w:eastAsia="Calibri" w:hAnsi="Calibri"/>
          <w:sz w:val="22"/>
          <w:szCs w:val="22"/>
        </w:rPr>
        <w:t xml:space="preserve">This Lease, its signed attachments, and any lawful building rules delivered before signing contain the parties' entire agreement on the Premises. An amendment must be in writing and signed by both parties. If a provision conflicts with mandatory law, mandatory law controls and the remaining provisions continue to the extent lawful.</w:t>
      </w:r>
    </w:p>
    <w:p>
      <w:pPr>
        <w:pStyle w:val="Heading2"/>
        <w:keepNext/>
        <w:spacing w:after="120" w:before="240"/>
      </w:pPr>
      <w:r>
        <w:rPr>
          <w:rFonts w:ascii="Calibri" w:cs="Calibri" w:eastAsia="Calibri" w:hAnsi="Calibri"/>
          <w:b/>
          <w:bCs/>
          <w:color w:val="102B3F"/>
          <w:sz w:val="26"/>
          <w:szCs w:val="26"/>
        </w:rPr>
        <w:t xml:space="preserve">16.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rules, a reliable electronic signature and electronic copy may satisfy writing and signature requirements. The parties shall retain the completed document and evidence of signer identity, intent, integrity, and the signing event.</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 Santos</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Owner / Lessor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Lessee</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Verify the lessor's ownership or written authority, and each signer's government-issued identification.</w:t>
      </w:r>
    </w:p>
    <w:p>
      <w:pPr>
        <w:pStyle w:val="ListParagraph"/>
        <w:keepNext/>
        <w:numPr>
          <w:ilvl w:val="0"/>
          <w:numId w:val="1"/>
        </w:numPr>
        <w:spacing w:after="120" w:line="264"/>
      </w:pPr>
      <w:r>
        <w:rPr>
          <w:rFonts w:ascii="Calibri" w:cs="Calibri" w:eastAsia="Calibri" w:hAnsi="Calibri"/>
          <w:sz w:val="22"/>
          <w:szCs w:val="22"/>
        </w:rPr>
        <w:t xml:space="preserve">Attach the signed inventory, condition report, meter readings, key count, and dated photographs.</w:t>
      </w:r>
    </w:p>
    <w:p>
      <w:pPr>
        <w:pStyle w:val="ListParagraph"/>
        <w:keepNext/>
        <w:numPr>
          <w:ilvl w:val="0"/>
          <w:numId w:val="1"/>
        </w:numPr>
        <w:spacing w:after="120" w:line="264"/>
      </w:pPr>
      <w:r>
        <w:rPr>
          <w:rFonts w:ascii="Calibri" w:cs="Calibri" w:eastAsia="Calibri" w:hAnsi="Calibri"/>
          <w:sz w:val="22"/>
          <w:szCs w:val="22"/>
        </w:rPr>
        <w:t xml:space="preserve">Keep the covered-unit security deposit in a bank account and retain the deposit record and final interest/accounting.</w:t>
      </w:r>
    </w:p>
    <w:p>
      <w:pPr>
        <w:pStyle w:val="ListParagraph"/>
        <w:keepNext/>
        <w:numPr>
          <w:ilvl w:val="0"/>
          <w:numId w:val="1"/>
        </w:numPr>
        <w:spacing w:after="120" w:line="264"/>
      </w:pPr>
      <w:r>
        <w:rPr>
          <w:rFonts w:ascii="Calibri" w:cs="Calibri" w:eastAsia="Calibri" w:hAnsi="Calibri"/>
          <w:sz w:val="22"/>
          <w:szCs w:val="22"/>
        </w:rPr>
        <w:t xml:space="preserve">Check condominium, subdivision, fire-safety, occupancy, registration, and local requirements that apply to the particular premises.</w:t>
      </w:r>
    </w:p>
    <w:p>
      <w:pPr>
        <w:pStyle w:val="ListParagraph"/>
        <w:keepNext/>
        <w:numPr>
          <w:ilvl w:val="0"/>
          <w:numId w:val="1"/>
        </w:numPr>
        <w:spacing w:after="120" w:line="264"/>
      </w:pPr>
      <w:r>
        <w:rPr>
          <w:rFonts w:ascii="Calibri" w:cs="Calibri" w:eastAsia="Calibri" w:hAnsi="Calibri"/>
          <w:sz w:val="22"/>
          <w:szCs w:val="22"/>
        </w:rPr>
        <w:t xml:space="preserve">Documentary stamp tax on a lease is PHP 6 for the first PHP 2,000 of rent, plus PHP 2 for every additional PHP 1,000, for each year of the term (NIRC Section 194, as amended by the TRAIN law). Confirm who pays it and keep proof of filing and payment.</w:t>
      </w:r>
    </w:p>
    <w:p>
      <w:pPr>
        <w:pStyle w:val="ListParagraph"/>
        <w:keepNext w:val="false"/>
        <w:numPr>
          <w:ilvl w:val="0"/>
          <w:numId w:val="1"/>
        </w:numPr>
        <w:spacing w:after="120" w:line="264"/>
      </w:pPr>
      <w:r>
        <w:rPr>
          <w:rFonts w:ascii="Calibri" w:cs="Calibri" w:eastAsia="Calibri" w:hAnsi="Calibri"/>
          <w:sz w:val="22"/>
          <w:szCs w:val="22"/>
        </w:rPr>
        <w:t xml:space="preserve">Each party should retain the exact signed lease, attachments, payment acknowledgments, and notices.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2026-08-29 through 2026-12-31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Civil Code of the Philippines (Republic Act No. 386) - Arts. 1642–1688 on leases; Art. 1878(8) (special power of attorney to lease real property for more than one year) and Art. 1403(1) (checked 2026-10-01)</w:t>
      </w:r>
    </w:p>
    <w:p>
      <w:pPr>
        <w:spacing w:after="120"/>
      </w:pPr>
      <w:hyperlink w:history="1" r:id="rId9gcikhhtstkiy24tkw7e5">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Rent Control Act of 2009 (Republic Act No. 9653) - Secs. 3 and 7–10, including Sec. 7 (one month's advance, two months' deposit) and Sec. 8 (no subleasing or acceptance of boarders or bedspacers without written consent); Sec. 13 (penalties) (checked 2026-10-01)</w:t>
      </w:r>
    </w:p>
    <w:p>
      <w:pPr>
        <w:spacing w:after="120"/>
      </w:pPr>
      <w:hyperlink w:history="1" r:id="rIdf6gg6xiq684wm8yidzfdc">
        <w:r>
          <w:rPr>
            <w:rFonts w:ascii="Calibri" w:cs="Calibri" w:eastAsia="Calibri" w:hAnsi="Calibri"/>
            <w:color w:val="315B75"/>
            <w:sz w:val="17"/>
            <w:szCs w:val="17"/>
            <w:u w:val="single"/>
          </w:rPr>
          <w:t xml:space="preserve">https://lawphil.net/statutes/repacts/ra2009/ra_9653_2009.html</w:t>
        </w:r>
      </w:hyperlink>
    </w:p>
    <w:p>
      <w:pPr>
        <w:keepNext/>
        <w:spacing w:after="60" w:before="100"/>
      </w:pPr>
      <w:r>
        <w:rPr>
          <w:rFonts w:ascii="Calibri" w:cs="Calibri" w:eastAsia="Calibri" w:hAnsi="Calibri"/>
          <w:b/>
          <w:bCs/>
          <w:sz w:val="18"/>
          <w:szCs w:val="18"/>
        </w:rPr>
        <w:t xml:space="preserve">NHSB Resolution No. 2024-01 — Rent Control for 2025–2026 (certified copy filed with ONAR) - Units at PHP 10,000 a month and below; for as long as the unit is occupied by the same lessee, rent may not rise by more than 2.3% in 2025 or 1% in 2026; vacancy reset; for student rooms and bedspaces no more than one increase a year; new construction excluded (checked 2026-10-01)</w:t>
      </w:r>
    </w:p>
    <w:p>
      <w:pPr>
        <w:spacing w:after="120"/>
      </w:pPr>
      <w:hyperlink w:history="1" r:id="rId-jqd3afw1uibbthf68c3o">
        <w:r>
          <w:rPr>
            <w:rFonts w:ascii="Calibri" w:cs="Calibri" w:eastAsia="Calibri" w:hAnsi="Calibri"/>
            <w:color w:val="315B75"/>
            <w:sz w:val="17"/>
            <w:szCs w:val="17"/>
            <w:u w:val="single"/>
          </w:rPr>
          <w:t xml:space="preserve">https://naro.law.upd.edu.ph/issuances/4495</w:t>
        </w:r>
      </w:hyperlink>
    </w:p>
    <w:p>
      <w:pPr>
        <w:keepNext/>
        <w:spacing w:after="60" w:before="100"/>
      </w:pPr>
      <w:r>
        <w:rPr>
          <w:rFonts w:ascii="Calibri" w:cs="Calibri" w:eastAsia="Calibri" w:hAnsi="Calibri"/>
          <w:b/>
          <w:bCs/>
          <w:sz w:val="18"/>
          <w:szCs w:val="18"/>
        </w:rPr>
        <w:t xml:space="preserve">TRAIN Law (Republic Act No. 10963), Sec. 67 amending NIRC Sec. 194 - Documentary stamp tax on leases: PHP 6 for the first PHP 2,000 of rent, plus PHP 2 for every additional PHP 1,000, for each year of the term (checked 2026-10-01)</w:t>
      </w:r>
    </w:p>
    <w:p>
      <w:pPr>
        <w:spacing w:after="120"/>
      </w:pPr>
      <w:hyperlink w:history="1" r:id="rIdpmvj3hdebawxe7drc7yaa">
        <w:r>
          <w:rPr>
            <w:rFonts w:ascii="Calibri" w:cs="Calibri" w:eastAsia="Calibri" w:hAnsi="Calibri"/>
            <w:color w:val="315B75"/>
            <w:sz w:val="17"/>
            <w:szCs w:val="17"/>
            <w:u w:val="single"/>
          </w:rPr>
          <w:t xml:space="preserve">https://lawphil.net/statutes/repacts/ra2017/ra_10963_2017.html</w:t>
        </w:r>
      </w:hyperlink>
    </w:p>
    <w:p>
      <w:pPr>
        <w:keepNext/>
        <w:spacing w:after="60" w:before="100"/>
      </w:pPr>
      <w:r>
        <w:rPr>
          <w:rFonts w:ascii="Calibri" w:cs="Calibri" w:eastAsia="Calibri" w:hAnsi="Calibri"/>
          <w:b/>
          <w:bCs/>
          <w:sz w:val="18"/>
          <w:szCs w:val="18"/>
        </w:rPr>
        <w:t xml:space="preserve">Electronic Commerce Act of 2000 (Republic Act No. 8792) - Secs. 6–8 (checked 2026-08-29)</w:t>
      </w:r>
    </w:p>
    <w:p>
      <w:pPr>
        <w:spacing w:after="120"/>
      </w:pPr>
      <w:hyperlink w:history="1" r:id="rIdmggw8udpxfq-ioa8gc8-f">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cikhhtstkiy24tkw7e5" Type="http://schemas.openxmlformats.org/officeDocument/2006/relationships/hyperlink" Target="https://lawphil.net/statutes/repacts/ra1949/ra_386_1949.html" TargetMode="External"/><Relationship Id="rIdf6gg6xiq684wm8yidzfdc" Type="http://schemas.openxmlformats.org/officeDocument/2006/relationships/hyperlink" Target="https://lawphil.net/statutes/repacts/ra2009/ra_9653_2009.html" TargetMode="External"/><Relationship Id="rId-jqd3afw1uibbthf68c3o" Type="http://schemas.openxmlformats.org/officeDocument/2006/relationships/hyperlink" Target="https://naro.law.upd.edu.ph/issuances/4495" TargetMode="External"/><Relationship Id="rIdpmvj3hdebawxe7drc7yaa" Type="http://schemas.openxmlformats.org/officeDocument/2006/relationships/hyperlink" Target="https://lawphil.net/statutes/repacts/ra2017/ra_10963_2017.html" TargetMode="External"/><Relationship Id="rIdmggw8udpxfq-ioa8gc8-f" Type="http://schemas.openxmlformats.org/officeDocument/2006/relationships/hyperlink" Target="https://lawphil.net/statutes/repacts/ra2000/ra_8792_2000.html"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Lease Agreement</dc:title>
  <dc:creator>LAW.PH</dc:creator>
  <dc:description>Free sample of the Residential Lease Agreement from LAW.PH, with fictional details</dc:description>
  <cp:lastModifiedBy>Un-named</cp:lastModifiedBy>
  <cp:revision>1</cp:revision>
  <dcterms:created xsi:type="dcterms:W3CDTF">2026-10-02T05:29:56.935Z</dcterms:created>
  <dcterms:modified xsi:type="dcterms:W3CDTF">2026-10-02T05:29:56.935Z</dcterms:modified>
</cp:coreProperties>
</file>

<file path=docProps/custom.xml><?xml version="1.0" encoding="utf-8"?>
<Properties xmlns="http://schemas.openxmlformats.org/officeDocument/2006/custom-properties" xmlns:vt="http://schemas.openxmlformats.org/officeDocument/2006/docPropsVTypes"/>
</file>