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SHAREHOLDERS’ AGREEMENT</w:t>
      </w:r>
    </w:p>
    <w:p>
      <w:pPr>
        <w:spacing w:after="160"/>
        <w:jc w:val="center"/>
      </w:pPr>
      <w:r>
        <w:rPr>
          <w:rFonts w:ascii="Calibri" w:cs="Calibri" w:eastAsia="Calibri" w:hAnsi="Calibri"/>
          <w:color w:val="566674"/>
          <w:sz w:val="18"/>
          <w:szCs w:val="18"/>
        </w:rPr>
        <w:t xml:space="preserve">Bayanihan Workflow Systems, Inc. · Ordinary private stock-corporation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corporate-lawyer review pending</w:t>
      </w:r>
    </w:p>
    <w:p>
      <w:pPr>
        <w:pStyle w:val="Heading2"/>
        <w:keepNext/>
        <w:spacing w:after="120" w:before="240"/>
      </w:pPr>
      <w:r>
        <w:rPr>
          <w:rFonts w:ascii="Calibri" w:cs="Calibri" w:eastAsia="Calibri" w:hAnsi="Calibri"/>
          <w:b/>
          <w:bCs/>
          <w:color w:val="102B3F"/>
          <w:sz w:val="26"/>
          <w:szCs w:val="26"/>
        </w:rPr>
        <w:t xml:space="preserve">PARTIES, PURPOSE, AND LIMITED EFFECT</w:t>
      </w:r>
    </w:p>
    <w:p>
      <w:pPr>
        <w:keepLines/>
        <w:spacing w:after="120" w:line="264"/>
        <w:jc w:val="both"/>
      </w:pPr>
      <w:r>
        <w:rPr>
          <w:rFonts w:ascii="Calibri" w:cs="Calibri" w:eastAsia="Calibri" w:hAnsi="Calibri"/>
          <w:sz w:val="22"/>
          <w:szCs w:val="22"/>
        </w:rPr>
        <w:t xml:space="preserve">This Shareholders’ Agreement (the “Agreement”) takes effect on August 31, 2026 among the shareholders listed below concerning Bayanihan Workflow Systems, Inc., SEC Registration No. CS202401234, with principal office at Unit 1204, Meridian Corporate Center, 30th Street, Bonifacio Global City, Taguig City 1634.</w:t>
      </w:r>
    </w:p>
    <w:p>
      <w:pPr>
        <w:keepLines/>
        <w:spacing w:after="120" w:line="264"/>
        <w:jc w:val="both"/>
      </w:pPr>
      <w:r>
        <w:rPr>
          <w:rFonts w:ascii="Calibri" w:cs="Calibri" w:eastAsia="Calibri" w:hAnsi="Calibri"/>
          <w:sz w:val="22"/>
          <w:szCs w:val="22"/>
        </w:rPr>
        <w:t xml:space="preserve">Purpose: Govern the long-term ownership, decision-making, funding, information access, transfer, succession, and exit relationship of two founders operating a Philippine business-to-business software company.</w:t>
      </w:r>
    </w:p>
    <w:p>
      <w:pPr>
        <w:keepLines/>
        <w:spacing w:after="120" w:line="264"/>
        <w:jc w:val="both"/>
      </w:pPr>
      <w:r>
        <w:rPr>
          <w:rFonts w:ascii="Calibri" w:cs="Calibri" w:eastAsia="Calibri" w:hAnsi="Calibri"/>
          <w:sz w:val="22"/>
          <w:szCs w:val="22"/>
        </w:rPr>
        <w:t xml:space="preserve">The Agreement governs only the parties’ contractual rights and how they exercise shareholder rights. It does not itself issue, subscribe, sell, endorse, deliver, cancel, redeem, or transfer a share; amend articles or bylaws; elect or remove a director; bind the Corporation when it is not a valid party; or replace a board, stockholder, SEC, BIR, PCC, regulator, court, or stock-and-transfer-book act required by law.</w:t>
      </w:r>
    </w:p>
    <w:p>
      <w:pPr>
        <w:keepLines/>
        <w:spacing w:after="120" w:line="264"/>
        <w:jc w:val="both"/>
      </w:pPr>
      <w:r>
        <w:rPr>
          <w:rFonts w:ascii="Calibri" w:cs="Calibri" w:eastAsia="Calibri" w:hAnsi="Calibri"/>
          <w:sz w:val="22"/>
          <w:szCs w:val="22"/>
        </w:rPr>
        <w:t xml:space="preserve">The parties represent that all issued and outstanding shares are held by signatories, subject to verification against the capitalization record.</w:t>
      </w:r>
    </w:p>
    <w:p>
      <w:pPr>
        <w:keepLines/>
        <w:spacing w:after="120" w:line="264"/>
        <w:jc w:val="both"/>
      </w:pPr>
      <w:r>
        <w:rPr>
          <w:rFonts w:ascii="Calibri" w:cs="Calibri" w:eastAsia="Calibri" w:hAnsi="Calibri"/>
          <w:sz w:val="22"/>
          <w:szCs w:val="22"/>
        </w:rPr>
        <w:t xml:space="preserve">No listed, public-offer, public-interest, regulated, foreign-corporation, OPC, or foreign-participation status is represented after the stated review. Current route: Ordinary private stock-corporation route.</w:t>
      </w:r>
    </w:p>
    <w:p>
      <w:pPr>
        <w:keepLines/>
        <w:spacing w:after="120" w:line="264"/>
        <w:jc w:val="both"/>
      </w:pPr>
      <w:r>
        <w:rPr>
          <w:rFonts w:ascii="Calibri" w:cs="Calibri" w:eastAsia="Calibri" w:hAnsi="Calibri"/>
          <w:sz w:val="22"/>
          <w:szCs w:val="22"/>
        </w:rPr>
        <w:t xml:space="preserve">No control transaction is represented as planned. A later acquisition, joint venture, drag sale, or control change requires a fresh PCC analysis using the thresholds and rules then effective.</w:t>
      </w:r>
    </w:p>
    <w:p>
      <w:pPr>
        <w:pStyle w:val="Heading2"/>
        <w:keepNext/>
        <w:spacing w:after="120" w:before="240"/>
      </w:pPr>
      <w:r>
        <w:rPr>
          <w:rFonts w:ascii="Calibri" w:cs="Calibri" w:eastAsia="Calibri" w:hAnsi="Calibri"/>
          <w:b/>
          <w:bCs/>
          <w:color w:val="102B3F"/>
          <w:sz w:val="26"/>
          <w:szCs w:val="26"/>
        </w:rPr>
        <w:t xml:space="preserve">CORPORATE RECORD AND CAPITALIZATION</w:t>
      </w:r>
    </w:p>
    <w:p>
      <w:pPr>
        <w:keepLines/>
        <w:spacing w:after="120" w:line="264"/>
        <w:jc w:val="both"/>
      </w:pPr>
      <w:r>
        <w:rPr>
          <w:rFonts w:ascii="Calibri" w:cs="Calibri" w:eastAsia="Calibri" w:hAnsi="Calibri"/>
          <w:sz w:val="22"/>
          <w:szCs w:val="22"/>
        </w:rPr>
        <w:t xml:space="preserve">Primary purpose and current business: Develop, license, implement, and support business workflow software and related professional services for Philippine and overseas enterprise customers.</w:t>
      </w:r>
    </w:p>
    <w:p>
      <w:pPr>
        <w:keepLines/>
        <w:spacing w:after="120" w:line="264"/>
        <w:jc w:val="both"/>
      </w:pPr>
      <w:r>
        <w:rPr>
          <w:rFonts w:ascii="Calibri" w:cs="Calibri" w:eastAsia="Calibri" w:hAnsi="Calibri"/>
          <w:sz w:val="22"/>
          <w:szCs w:val="22"/>
        </w:rPr>
        <w:t xml:space="preserve">Governing-record evidence: SEC-filed Articles of Incorporation dated 12 January 2024, Bylaws dated 15 February 2024, current 2026 GIS, and signed corporate books reconciled on 30 August 2026. The Corporation is not represented as a statutory close corporation.</w:t>
      </w:r>
    </w:p>
    <w:p>
      <w:pPr>
        <w:keepLines/>
        <w:spacing w:after="120" w:line="264"/>
        <w:jc w:val="both"/>
      </w:pPr>
      <w:r>
        <w:rPr>
          <w:rFonts w:ascii="Calibri" w:cs="Calibri" w:eastAsia="Calibri" w:hAnsi="Calibri"/>
          <w:sz w:val="22"/>
          <w:szCs w:val="22"/>
        </w:rPr>
        <w:t xml:space="preserve">As of August 30, 2026: Authorized capital of PHP 10,000,000 divided into 1,000,000 common voting shares with PHP 10 par value; no preferred, nonvoting, treasury, option, or convertible securities are outstanding. Issued and outstanding shares: 100,000; total voting shares: 100,000.</w:t>
      </w:r>
    </w:p>
    <w:p>
      <w:pPr>
        <w:keepLines/>
        <w:spacing w:after="120" w:line="264"/>
        <w:jc w:val="both"/>
      </w:pPr>
      <w:r>
        <w:rPr>
          <w:rFonts w:ascii="Calibri" w:cs="Calibri" w:eastAsia="Calibri" w:hAnsi="Calibri"/>
          <w:sz w:val="22"/>
          <w:szCs w:val="22"/>
        </w:rPr>
        <w:t xml:space="preserve">Stock and transfer book, certificate, subscription, lien, and transfer evidence: Stock and Transfer Book pages 1–4 records only Certificate Nos. 001 and 002, no cancellation, transfer, pledge, lien, adverse claim, option, or lost-certificate proceeding, reconciled to subscriptions and the general ledger.</w:t>
      </w:r>
    </w:p>
    <w:p>
      <w:pPr>
        <w:keepLines/>
        <w:spacing w:after="120" w:line="264"/>
        <w:jc w:val="both"/>
      </w:pPr>
      <w:r>
        <w:rPr>
          <w:rFonts w:ascii="Calibri" w:cs="Calibri" w:eastAsia="Calibri" w:hAnsi="Calibri"/>
          <w:sz w:val="22"/>
          <w:szCs w:val="22"/>
        </w:rPr>
        <w:t xml:space="preserve">The participating holders account for 100,000 shares (100.00% of issued and outstanding shares) and 100,000 voting shares (100.00% of total voting shares). Percentages are evidence calculations from the stated record, not a substitute for the stock and transfer book.</w:t>
      </w:r>
    </w:p>
    <w:p>
      <w:pPr>
        <w:pStyle w:val="Heading2"/>
        <w:keepNext/>
        <w:spacing w:after="120" w:before="240"/>
      </w:pPr>
      <w:r>
        <w:rPr>
          <w:rFonts w:ascii="Calibri" w:cs="Calibri" w:eastAsia="Calibri" w:hAnsi="Calibri"/>
          <w:b/>
          <w:bCs/>
          <w:color w:val="102B3F"/>
          <w:sz w:val="26"/>
          <w:szCs w:val="26"/>
        </w:rPr>
        <w:t xml:space="preserve">SHAREHOLDER SCHEDULE</w:t>
      </w:r>
    </w:p>
    <w:p>
      <w:pPr>
        <w:keepLines/>
        <w:spacing w:after="120" w:line="264"/>
        <w:jc w:val="both"/>
      </w:pPr>
      <w:r>
        <w:rPr>
          <w:rFonts w:ascii="Calibri" w:cs="Calibri" w:eastAsia="Calibri" w:hAnsi="Calibri"/>
          <w:sz w:val="22"/>
          <w:szCs w:val="22"/>
        </w:rPr>
        <w:t xml:space="preserve">Shareholder 1: Maria Elena Santos, individual, Filipino, of 24 Sampaguita Street, Barangay Sacred Heart, Quezon City 1103. Authority: Registered holder acting personally after government-ID, capacity, subscription, and stock-book verification. Holds 60,000 Common voting shares, of which 60,000 are voting shares. Fully paid according to verified subscription and corporate accounting records. Beneficial-owner record: Direct natural-person beneficial owner verified in the current corporate compliance record.</w:t>
      </w:r>
    </w:p>
    <w:p>
      <w:pPr>
        <w:keepLines/>
        <w:spacing w:after="120" w:line="264"/>
        <w:jc w:val="both"/>
      </w:pPr>
      <w:r>
        <w:rPr>
          <w:rFonts w:ascii="Calibri" w:cs="Calibri" w:eastAsia="Calibri" w:hAnsi="Calibri"/>
          <w:sz w:val="22"/>
          <w:szCs w:val="22"/>
        </w:rPr>
        <w:t xml:space="preserve">Shareholder 2: Ana Lucia Reyes, individual, Filipino, of 88 Acacia Avenue, Barangay Kapitolyo, Pasig City 1603. Authority: Registered holder acting personally after government-ID, capacity, subscription, and stock-book verification. Holds 40,000 Common voting shares, of which 40,000 are voting shares. Fully paid according to verified subscription and corporate accounting records. Beneficial-owner record: Direct natural-person beneficial owner verified in the current corporate compliance record.</w:t>
      </w:r>
    </w:p>
    <w:p>
      <w:pPr>
        <w:pStyle w:val="Heading2"/>
        <w:keepNext/>
        <w:spacing w:after="120" w:before="240"/>
      </w:pPr>
      <w:r>
        <w:rPr>
          <w:rFonts w:ascii="Calibri" w:cs="Calibri" w:eastAsia="Calibri" w:hAnsi="Calibri"/>
          <w:b/>
          <w:bCs/>
          <w:color w:val="102B3F"/>
          <w:sz w:val="26"/>
          <w:szCs w:val="26"/>
        </w:rPr>
        <w:t xml:space="preserve">CORPORATION AS PARTY</w:t>
      </w:r>
    </w:p>
    <w:p>
      <w:pPr>
        <w:keepLines/>
        <w:spacing w:after="120" w:line="264"/>
        <w:jc w:val="both"/>
      </w:pPr>
      <w:r>
        <w:rPr>
          <w:rFonts w:ascii="Calibri" w:cs="Calibri" w:eastAsia="Calibri" w:hAnsi="Calibri"/>
          <w:sz w:val="22"/>
          <w:szCs w:val="22"/>
        </w:rPr>
        <w:t xml:space="preserve">The Corporation joins only through Maria Elena Santos, President under this authority: Board Resolution No. 2026-18 adopted at a properly called meeting on 30 August 2026 authorizes the Corporation to sign the exact final agreement and perform only the stated corporate covenants.</w:t>
      </w:r>
    </w:p>
    <w:p>
      <w:pPr>
        <w:keepLines/>
        <w:spacing w:after="120" w:line="264"/>
        <w:jc w:val="both"/>
      </w:pPr>
      <w:r>
        <w:rPr>
          <w:rFonts w:ascii="Calibri" w:cs="Calibri" w:eastAsia="Calibri" w:hAnsi="Calibri"/>
          <w:sz w:val="22"/>
          <w:szCs w:val="22"/>
        </w:rPr>
        <w:t xml:space="preserve">Corporate covenants operate only within the Corporation’s lawful powers, valid approvals, governing documents, solvency and capital rules, fiduciary duties, and the rights of nonparties. A shareholder cannot promise a corporate act that the shareholder lacks power to cause.</w:t>
      </w:r>
    </w:p>
    <w:p>
      <w:pPr>
        <w:pStyle w:val="Heading2"/>
        <w:keepNext/>
        <w:spacing w:after="120" w:before="240"/>
      </w:pPr>
      <w:r>
        <w:rPr>
          <w:rFonts w:ascii="Calibri" w:cs="Calibri" w:eastAsia="Calibri" w:hAnsi="Calibri"/>
          <w:b/>
          <w:bCs/>
          <w:color w:val="102B3F"/>
          <w:sz w:val="26"/>
          <w:szCs w:val="26"/>
        </w:rPr>
        <w:t xml:space="preserve">BOARD, SHAREHOLDER VOTING, AND RESERVED MATTERS</w:t>
      </w:r>
    </w:p>
    <w:p>
      <w:pPr>
        <w:keepLines/>
        <w:spacing w:after="120" w:line="264"/>
        <w:jc w:val="both"/>
      </w:pPr>
      <w:r>
        <w:rPr>
          <w:rFonts w:ascii="Calibri" w:cs="Calibri" w:eastAsia="Calibri" w:hAnsi="Calibri"/>
          <w:sz w:val="22"/>
          <w:szCs w:val="22"/>
        </w:rPr>
        <w:t xml:space="preserve">Board composition: The articles state a three-director board. Maria may nominate one qualified candidate, Ana may nominate one, and both shareholders jointly nominate the independent third candidate, subject always to lawful election and removal by the shareholders.</w:t>
      </w:r>
    </w:p>
    <w:p>
      <w:pPr>
        <w:keepLines/>
        <w:spacing w:after="120" w:line="264"/>
        <w:jc w:val="both"/>
      </w:pPr>
      <w:r>
        <w:rPr>
          <w:rFonts w:ascii="Calibri" w:cs="Calibri" w:eastAsia="Calibri" w:hAnsi="Calibri"/>
          <w:sz w:val="22"/>
          <w:szCs w:val="22"/>
        </w:rPr>
        <w:t xml:space="preserve">Nomination and election: Each party votes its shares for the nominated candidates at a properly called election using the cumulative-voting rights required by law; vacancies, removal, disqualification, holdover, and replacement follow the Code, articles, bylaws, and valid corporate process.</w:t>
      </w:r>
    </w:p>
    <w:p>
      <w:pPr>
        <w:keepLines/>
        <w:spacing w:after="120" w:line="264"/>
        <w:jc w:val="both"/>
      </w:pPr>
      <w:r>
        <w:rPr>
          <w:rFonts w:ascii="Calibri" w:cs="Calibri" w:eastAsia="Calibri" w:hAnsi="Calibri"/>
          <w:sz w:val="22"/>
          <w:szCs w:val="22"/>
        </w:rPr>
        <w:t xml:space="preserve">Voting coordination: Before each shareholder vote, the parties receive the agenda and material records, consult in good faith, disclose conflicts, and vote their own shares consistently with the express reserved-matter commitments and mandatory law.</w:t>
      </w:r>
    </w:p>
    <w:p>
      <w:pPr>
        <w:keepLines/>
        <w:spacing w:after="120" w:line="264"/>
        <w:jc w:val="both"/>
      </w:pPr>
      <w:r>
        <w:rPr>
          <w:rFonts w:ascii="Calibri" w:cs="Calibri" w:eastAsia="Calibri" w:hAnsi="Calibri"/>
          <w:sz w:val="22"/>
          <w:szCs w:val="22"/>
        </w:rPr>
        <w:t xml:space="preserve">Reserved matters require 75% approval of the participating voting interests where the decision lawfully belongs to shareholders: Amendment of articles or bylaws; creation or issuance of shares, options, or convertibles; waiver of preemptive rights; merger, sale of substantially all assets, dissolution, or change of primary purpose; dividends outside policy; borrowing, guarantees, or security above PHP 2,000,000; related-party transactions; annual budget; material IP transfer; and litigation settlement above PHP 1,000,000, each acted on by the legally proper corporate body.</w:t>
      </w:r>
    </w:p>
    <w:p>
      <w:pPr>
        <w:keepLines/>
        <w:spacing w:after="120" w:line="264"/>
        <w:jc w:val="both"/>
      </w:pPr>
      <w:r>
        <w:rPr>
          <w:rFonts w:ascii="Calibri" w:cs="Calibri" w:eastAsia="Calibri" w:hAnsi="Calibri"/>
          <w:sz w:val="22"/>
          <w:szCs w:val="22"/>
        </w:rPr>
        <w:t xml:space="preserve">Notice, quorum, adjournment, and anti-boycott safeguards: Use the quorum in law and the valid articles or bylaws, give at least ten calendar days' notice with agenda and records, permit lawful remote participation, allow one adjournment for a failed quorum, and reconvene without eliminating any mandatory quorum or voting requirement.</w:t>
      </w:r>
    </w:p>
    <w:p>
      <w:pPr>
        <w:keepLines/>
        <w:spacing w:after="120" w:line="264"/>
        <w:jc w:val="both"/>
      </w:pPr>
      <w:r>
        <w:rPr>
          <w:rFonts w:ascii="Calibri" w:cs="Calibri" w:eastAsia="Calibri" w:hAnsi="Calibri"/>
          <w:sz w:val="22"/>
          <w:szCs w:val="22"/>
        </w:rPr>
        <w:t xml:space="preserve">For an ordinary corporation, the board exercises corporate powers and manages the business. The parties may coordinate lawful shareholder votes, but a contractual veto does not silently transfer statutory board discretion or validate an act lacking the required board or shareholder approval.</w:t>
      </w:r>
    </w:p>
    <w:p>
      <w:pPr>
        <w:pStyle w:val="Heading2"/>
        <w:keepNext/>
        <w:spacing w:after="120" w:before="240"/>
      </w:pPr>
      <w:r>
        <w:rPr>
          <w:rFonts w:ascii="Calibri" w:cs="Calibri" w:eastAsia="Calibri" w:hAnsi="Calibri"/>
          <w:b/>
          <w:bCs/>
          <w:color w:val="102B3F"/>
          <w:sz w:val="26"/>
          <w:szCs w:val="26"/>
        </w:rPr>
        <w:t xml:space="preserve">MANAGEMENT, INFORMATION, BUDGET, AND CONFLICTS</w:t>
      </w:r>
    </w:p>
    <w:p>
      <w:pPr>
        <w:keepLines/>
        <w:spacing w:after="120" w:line="264"/>
        <w:jc w:val="both"/>
      </w:pPr>
      <w:r>
        <w:rPr>
          <w:rFonts w:ascii="Calibri" w:cs="Calibri" w:eastAsia="Calibri" w:hAnsi="Calibri"/>
          <w:sz w:val="22"/>
          <w:szCs w:val="22"/>
        </w:rPr>
        <w:t xml:space="preserve">Annual plan and budget: Management submits the annual operating plan, hiring plan, capital budget, cash forecast, and monthly reporting package at least thirty days before year-end; the board validly approves it and records material variances and corrective actions.</w:t>
      </w:r>
    </w:p>
    <w:p>
      <w:pPr>
        <w:keepLines/>
        <w:spacing w:after="120" w:line="264"/>
        <w:jc w:val="both"/>
      </w:pPr>
      <w:r>
        <w:rPr>
          <w:rFonts w:ascii="Calibri" w:cs="Calibri" w:eastAsia="Calibri" w:hAnsi="Calibri"/>
          <w:sz w:val="22"/>
          <w:szCs w:val="22"/>
        </w:rPr>
        <w:t xml:space="preserve">Information and inspection: Provide monthly management accounts, quarterly cash and compliance reports, annual financial statements, capitalization changes, material contracts, and reasonable secure inspection subject to statutory purpose, privilege, personal-data minimization, confidentiality, and non-disruption controls.</w:t>
      </w:r>
    </w:p>
    <w:p>
      <w:pPr>
        <w:keepLines/>
        <w:spacing w:after="120" w:line="264"/>
        <w:jc w:val="both"/>
      </w:pPr>
      <w:r>
        <w:rPr>
          <w:rFonts w:ascii="Calibri" w:cs="Calibri" w:eastAsia="Calibri" w:hAnsi="Calibri"/>
          <w:sz w:val="22"/>
          <w:szCs w:val="22"/>
        </w:rPr>
        <w:t xml:space="preserve">Conflicts and related-party transactions: Disclose each direct or indirect interest and all material terms before deliberation, preserve comparable-market evidence, require recusal and disinterested approval under the Code and governing documents, obtain any stockholder ratification, and prohibit secret profit or undisclosed diversion of corporate opportunity.</w:t>
      </w:r>
    </w:p>
    <w:p>
      <w:pPr>
        <w:keepLines/>
        <w:spacing w:after="120" w:line="264"/>
        <w:jc w:val="both"/>
      </w:pPr>
      <w:r>
        <w:rPr>
          <w:rFonts w:ascii="Calibri" w:cs="Calibri" w:eastAsia="Calibri" w:hAnsi="Calibri"/>
          <w:sz w:val="22"/>
          <w:szCs w:val="22"/>
        </w:rPr>
        <w:t xml:space="preserve">Management and service roles: Maria serves as President and Ana as Chief Product Officer only under separate board appointments and employment agreements; their officer, employee, director, and shareholder capacities remain distinct, with authority limited by approved budgets and signing matrices. Employment, consultancy, office, and shareholder status remain distinct; loss of one status changes another only through a lawful, express, and separately supported mechanism.</w:t>
      </w:r>
    </w:p>
    <w:p>
      <w:pPr>
        <w:pStyle w:val="Heading2"/>
        <w:keepNext/>
        <w:spacing w:after="120" w:before="240"/>
      </w:pPr>
      <w:r>
        <w:rPr>
          <w:rFonts w:ascii="Calibri" w:cs="Calibri" w:eastAsia="Calibri" w:hAnsi="Calibri"/>
          <w:b/>
          <w:bCs/>
          <w:color w:val="102B3F"/>
          <w:sz w:val="26"/>
          <w:szCs w:val="26"/>
        </w:rPr>
        <w:t xml:space="preserve">DIVIDENDS, FUNDING, AND DILUTION</w:t>
      </w:r>
    </w:p>
    <w:p>
      <w:pPr>
        <w:keepLines/>
        <w:spacing w:after="120" w:line="264"/>
        <w:jc w:val="both"/>
      </w:pPr>
      <w:r>
        <w:rPr>
          <w:rFonts w:ascii="Calibri" w:cs="Calibri" w:eastAsia="Calibri" w:hAnsi="Calibri"/>
          <w:sz w:val="22"/>
          <w:szCs w:val="22"/>
        </w:rPr>
        <w:t xml:space="preserve">Dividends: The board may declare dividends pro rata according to valid share rights only from unrestricted retained earnings after taxes, debt covenants, working capital, approved reserves, solvency, and current investment needs have been documented. A dividend remains subject to the Revised Corporation Code, unrestricted retained earnings, board action, share rights, taxes, creditor protection, and any valid restriction; no party guarantees a declaration or payment.</w:t>
      </w:r>
    </w:p>
    <w:p>
      <w:pPr>
        <w:keepLines/>
        <w:spacing w:after="120" w:line="264"/>
        <w:jc w:val="both"/>
      </w:pPr>
      <w:r>
        <w:rPr>
          <w:rFonts w:ascii="Calibri" w:cs="Calibri" w:eastAsia="Calibri" w:hAnsi="Calibri"/>
          <w:sz w:val="22"/>
          <w:szCs w:val="22"/>
        </w:rPr>
        <w:t xml:space="preserve">Future funding and shareholder advances: The board first presents a documented funding need and alternatives; any shareholder funding requires a written pro rata equity issuance or a separately approved loan with arm's-length terms, and failure to fund creates no dilution or debt unless the stated lawful process is completed.</w:t>
      </w:r>
    </w:p>
    <w:p>
      <w:pPr>
        <w:keepLines/>
        <w:spacing w:after="120" w:line="264"/>
        <w:jc w:val="both"/>
      </w:pPr>
      <w:r>
        <w:rPr>
          <w:rFonts w:ascii="Calibri" w:cs="Calibri" w:eastAsia="Calibri" w:hAnsi="Calibri"/>
          <w:sz w:val="22"/>
          <w:szCs w:val="22"/>
        </w:rPr>
        <w:t xml:space="preserve">Preemptive rights: Preserve each holder's statutory and articles-based preemptive rights, provide the same price and material terms with at least twenty business days to elect, and document only a transaction-specific lawful exception or express waiver after full disclosure.</w:t>
      </w:r>
    </w:p>
    <w:p>
      <w:pPr>
        <w:keepLines/>
        <w:spacing w:after="120" w:line="264"/>
        <w:jc w:val="both"/>
      </w:pPr>
      <w:r>
        <w:rPr>
          <w:rFonts w:ascii="Calibri" w:cs="Calibri" w:eastAsia="Calibri" w:hAnsi="Calibri"/>
          <w:sz w:val="22"/>
          <w:szCs w:val="22"/>
        </w:rPr>
        <w:t xml:space="preserve">New shares, options, convertibles, and other securities: No share, option, warrant, convertible, restricted unit, or similar right may be promised or issued without authorized capital, valid consideration, board and shareholder or class approvals, securities-law review, subscription documents, tax analysis, and corporate-record updates.</w:t>
      </w:r>
    </w:p>
    <w:p>
      <w:pPr>
        <w:keepLines/>
        <w:spacing w:after="120" w:line="264"/>
        <w:jc w:val="both"/>
      </w:pPr>
      <w:r>
        <w:rPr>
          <w:rFonts w:ascii="Calibri" w:cs="Calibri" w:eastAsia="Calibri" w:hAnsi="Calibri"/>
          <w:sz w:val="22"/>
          <w:szCs w:val="22"/>
        </w:rPr>
        <w:t xml:space="preserve">Dilution disclosure: Before approval, provide a fully diluted capitalization table showing each existing and proposed security, conversion or exercise assumptions, issue price, valuation basis, voting effects, percentage dilution, proceeds use, conflicts, and post-closing control.</w:t>
      </w:r>
    </w:p>
    <w:p>
      <w:pPr>
        <w:keepLines/>
        <w:spacing w:after="120" w:line="264"/>
        <w:jc w:val="both"/>
      </w:pPr>
      <w:r>
        <w:rPr>
          <w:rFonts w:ascii="Calibri" w:cs="Calibri" w:eastAsia="Calibri" w:hAnsi="Calibri"/>
          <w:sz w:val="22"/>
          <w:szCs w:val="22"/>
        </w:rPr>
        <w:t xml:space="preserve">No share right is represented as contingent on continued founder, officer, employee, or consultant service.</w:t>
      </w:r>
    </w:p>
    <w:p>
      <w:pPr>
        <w:pStyle w:val="Heading2"/>
        <w:keepNext/>
        <w:spacing w:after="120" w:before="240"/>
      </w:pPr>
      <w:r>
        <w:rPr>
          <w:rFonts w:ascii="Calibri" w:cs="Calibri" w:eastAsia="Calibri" w:hAnsi="Calibri"/>
          <w:b/>
          <w:bCs/>
          <w:color w:val="102B3F"/>
          <w:sz w:val="26"/>
          <w:szCs w:val="26"/>
        </w:rPr>
        <w:t xml:space="preserve">TRANSFER RESTRICTIONS AND PERMITTED TRANSFERS</w:t>
      </w:r>
    </w:p>
    <w:p>
      <w:pPr>
        <w:keepLines/>
        <w:spacing w:after="120" w:line="264"/>
        <w:jc w:val="both"/>
      </w:pPr>
      <w:r>
        <w:rPr>
          <w:rFonts w:ascii="Calibri" w:cs="Calibri" w:eastAsia="Calibri" w:hAnsi="Calibri"/>
          <w:sz w:val="22"/>
          <w:szCs w:val="22"/>
        </w:rPr>
        <w:t xml:space="preserve">Existing restrictions and third-party notice: Articles Article VII, Bylaws Article VI, Certificate Nos. 001 and 002, and this Agreement contain coordinated restrictions; counsel will verify statutory validity, conspicuous certificate notation, stock-book entry, liens, and notice to every proposed transferee. The parties will place any restriction requiring articles, bylaws, certificate, stock-book, or transferee notice in the legally required record; this Agreement alone is not represented as binding an unaware third party.</w:t>
      </w:r>
    </w:p>
    <w:p>
      <w:pPr>
        <w:keepLines/>
        <w:spacing w:after="120" w:line="264"/>
        <w:jc w:val="both"/>
      </w:pPr>
      <w:r>
        <w:rPr>
          <w:rFonts w:ascii="Calibri" w:cs="Calibri" w:eastAsia="Calibri" w:hAnsi="Calibri"/>
          <w:sz w:val="22"/>
          <w:szCs w:val="22"/>
        </w:rPr>
        <w:t xml:space="preserve">Permitted transfers: A holder may transfer to a wholly owned holding company or estate-planning trust after identity, beneficial-owner, nationality, securities, tax, and creditor review, provided the transferee signs an accession and the transferor remains liable until valid registration. Every transferee must satisfy law, nationality, securities, tax, governing-document, approval, and accession requirements before party rights arise.</w:t>
      </w:r>
    </w:p>
    <w:p>
      <w:pPr>
        <w:keepLines/>
        <w:spacing w:after="120" w:line="264"/>
        <w:jc w:val="both"/>
      </w:pPr>
      <w:r>
        <w:rPr>
          <w:rFonts w:ascii="Calibri" w:cs="Calibri" w:eastAsia="Calibri" w:hAnsi="Calibri"/>
          <w:sz w:val="22"/>
          <w:szCs w:val="22"/>
        </w:rPr>
        <w:t xml:space="preserve">Right of first refusal: A selling holder gives a signed notice attaching the bona fide third-party offer and all price, payment, warranty, financing, identity, beneficial-owner, and closing terms; the other holder has twenty business days to buy all offered shares on identical terms, followed by a sixty-day matching third-party closing window if declined.</w:t>
      </w:r>
    </w:p>
    <w:p>
      <w:pPr>
        <w:keepLines/>
        <w:spacing w:after="120" w:line="264"/>
        <w:jc w:val="both"/>
      </w:pPr>
      <w:r>
        <w:rPr>
          <w:rFonts w:ascii="Calibri" w:cs="Calibri" w:eastAsia="Calibri" w:hAnsi="Calibri"/>
          <w:sz w:val="22"/>
          <w:szCs w:val="22"/>
        </w:rPr>
        <w:t xml:space="preserve">Tag-along right: If one or more holders propose to transfer more than fifty percent of voting control to one buyer or related buyers, each non-selling holder may include the same proportion of shares at the same per-share price, form of consideration, payment timing, and several liability terms after ten business days' election notice.</w:t>
      </w:r>
    </w:p>
    <w:p>
      <w:pPr>
        <w:keepLines/>
        <w:spacing w:after="120" w:line="264"/>
        <w:jc w:val="both"/>
      </w:pPr>
      <w:r>
        <w:rPr>
          <w:rFonts w:ascii="Calibri" w:cs="Calibri" w:eastAsia="Calibri" w:hAnsi="Calibri"/>
          <w:sz w:val="22"/>
          <w:szCs w:val="22"/>
        </w:rPr>
        <w:t xml:space="preserve">Drag-along right: After approval by holders of at least seventy-five percent of all voting shares and every required board, class, regulatory, securities, nationality, tax, and PCC condition, all holders may be required to join a bona fide arm's-length sale of one hundred percent on the same per-share economics, with several and proportionate escrow and liability except for each holder's title, authority, fraud, and own conduct. No dragged holder gives broader warranties, liability, escrow, or restrictive covenants than are proportionate and lawfully agreed, except title, authority, and that holder’s own conduct.</w:t>
      </w:r>
    </w:p>
    <w:p>
      <w:pPr>
        <w:keepLines/>
        <w:spacing w:after="120" w:line="264"/>
        <w:jc w:val="both"/>
      </w:pPr>
      <w:r>
        <w:rPr>
          <w:rFonts w:ascii="Calibri" w:cs="Calibri" w:eastAsia="Calibri" w:hAnsi="Calibri"/>
          <w:sz w:val="22"/>
          <w:szCs w:val="22"/>
        </w:rPr>
        <w:t xml:space="preserve">Certificate legend: to the extent the Corporation has power to do so, the parties shall cause the following legend to be placed on every share certificate held by a party: “The shares represented by this certificate are subject to restrictions on transfer and other terms in a Shareholders’ Agreement dated August 31, 2026, a copy of which is on file with the Corporate Secretary. No transfer of these shares shall be recorded in the stock and transfer book except in compliance with that agreement.” To bind a purchaser in good faith, a transfer restriction should also appear in the articles of incorporation and the bylaws; for a close corporation, Section 97 of the Revised Corporation Code requires it.</w:t>
      </w:r>
    </w:p>
    <w:p>
      <w:pPr>
        <w:pStyle w:val="Heading2"/>
        <w:keepNext/>
        <w:spacing w:after="120" w:before="240"/>
      </w:pPr>
      <w:r>
        <w:rPr>
          <w:rFonts w:ascii="Calibri" w:cs="Calibri" w:eastAsia="Calibri" w:hAnsi="Calibri"/>
          <w:b/>
          <w:bCs/>
          <w:color w:val="102B3F"/>
          <w:sz w:val="26"/>
          <w:szCs w:val="26"/>
        </w:rPr>
        <w:t xml:space="preserve">VALUATION, PAYMENT, AND TRANSFER COMPLETION</w:t>
      </w:r>
    </w:p>
    <w:p>
      <w:pPr>
        <w:keepLines/>
        <w:spacing w:after="120" w:line="264"/>
        <w:jc w:val="both"/>
      </w:pPr>
      <w:r>
        <w:rPr>
          <w:rFonts w:ascii="Calibri" w:cs="Calibri" w:eastAsia="Calibri" w:hAnsi="Calibri"/>
          <w:sz w:val="22"/>
          <w:szCs w:val="22"/>
        </w:rPr>
        <w:t xml:space="preserve">Valuation: Use the bona fide third-party price for a matching sale; otherwise appoint an independent accredited valuation professional to apply a consistently defined fair-market-value method using normalized earnings, market multiples, net debt, working capital, and material contingent liabilities as of the event date.</w:t>
      </w:r>
    </w:p>
    <w:p>
      <w:pPr>
        <w:keepLines/>
        <w:spacing w:after="120" w:line="264"/>
        <w:jc w:val="both"/>
      </w:pPr>
      <w:r>
        <w:rPr>
          <w:rFonts w:ascii="Calibri" w:cs="Calibri" w:eastAsia="Calibri" w:hAnsi="Calibri"/>
          <w:sz w:val="22"/>
          <w:szCs w:val="22"/>
        </w:rPr>
        <w:t xml:space="preserve">Payment, escrow, security, and setoff: Use a licensed bank escrow for cleared funds against simultaneous final documents, certificates, tax filings, approvals, and stock-book conditions; deferred amounts require lawful interest and commercially reasonable security, and setoff is limited to finally agreed or adjudicated claims.</w:t>
      </w:r>
    </w:p>
    <w:p>
      <w:pPr>
        <w:keepLines/>
        <w:spacing w:after="120" w:line="264"/>
        <w:jc w:val="both"/>
      </w:pPr>
      <w:r>
        <w:rPr>
          <w:rFonts w:ascii="Calibri" w:cs="Calibri" w:eastAsia="Calibri" w:hAnsi="Calibri"/>
          <w:sz w:val="22"/>
          <w:szCs w:val="22"/>
        </w:rPr>
        <w:t xml:space="preserve">Completion sequence: Complete the separate deed or subscription document, original certificate surrender and endorsement or lawful replacement, board or other approvals, BIR valuation and returns, CGT or other income tax, DST, eCAR/CAR, SEC or regulator submissions, beneficial-owner updates, new certificate, and stock and transfer book entry before claiming registered ownership. Ownership or title is not represented as transferred until the separate instrument, endorsements or replacements, required taxes and eCAR/CAR, approvals, certificate delivery/cancellation, and stock-and-transfer-book entry are properly completed.</w:t>
      </w:r>
    </w:p>
    <w:p>
      <w:pPr>
        <w:keepLines/>
        <w:spacing w:after="120" w:line="264"/>
        <w:jc w:val="both"/>
      </w:pPr>
      <w:r>
        <w:rPr>
          <w:rFonts w:ascii="Calibri" w:cs="Calibri" w:eastAsia="Calibri" w:hAnsi="Calibri"/>
          <w:sz w:val="22"/>
          <w:szCs w:val="22"/>
        </w:rPr>
        <w:t xml:space="preserve">Securities compliance: Before every offer or sale, Philippine securities counsel verifies registration or the exact Section 10 exemption, offeree count and character, information package, anti-fraud disclosure, broker/dealer and solicitation rules, tender-offer consequences, resale limits, and evidence retained by the Corporation.</w:t>
      </w:r>
    </w:p>
    <w:p>
      <w:pPr>
        <w:keepLines/>
        <w:spacing w:after="120" w:line="264"/>
        <w:jc w:val="both"/>
      </w:pPr>
      <w:r>
        <w:rPr>
          <w:rFonts w:ascii="Calibri" w:cs="Calibri" w:eastAsia="Calibri" w:hAnsi="Calibri"/>
          <w:sz w:val="22"/>
          <w:szCs w:val="22"/>
        </w:rPr>
        <w:t xml:space="preserve">Tax and cost allocation: The seller bears tax on its gain and personal advisers; the buyer bears its diligence and financing costs; DST, escrow, valuation, notarization, and transfer-agent costs are allocated in the separate sale instrument after a current BIR computation, without binding the BIR or shifting statutory liability against the government. A current tax professional must compute and file the applicable capital-gains or other income tax, documentary stamp tax, valuation, withholding, and transfer requirements for the actual transaction.</w:t>
      </w:r>
    </w:p>
    <w:p>
      <w:pPr>
        <w:keepLines/>
        <w:spacing w:after="120" w:line="264"/>
        <w:jc w:val="both"/>
      </w:pPr>
      <w:r>
        <w:rPr>
          <w:rFonts w:ascii="Calibri" w:cs="Calibri" w:eastAsia="Calibri" w:hAnsi="Calibri"/>
          <w:sz w:val="22"/>
          <w:szCs w:val="22"/>
        </w:rPr>
        <w:t xml:space="preserve">No party will use a blank deed, blank endorsement, pre-signed certificate, open authority, undisclosed nominee, simulated consideration, automatic forfeiture, or unrecorded transfer shortcut.</w:t>
      </w:r>
    </w:p>
    <w:p>
      <w:pPr>
        <w:pStyle w:val="Heading2"/>
        <w:keepNext/>
        <w:spacing w:after="120" w:before="240"/>
      </w:pPr>
      <w:r>
        <w:rPr>
          <w:rFonts w:ascii="Calibri" w:cs="Calibri" w:eastAsia="Calibri" w:hAnsi="Calibri"/>
          <w:b/>
          <w:bCs/>
          <w:color w:val="102B3F"/>
          <w:sz w:val="26"/>
          <w:szCs w:val="26"/>
        </w:rPr>
        <w:t xml:space="preserve">CONFIDENTIALITY, DATA, AND FAIR COMPETITION</w:t>
      </w:r>
    </w:p>
    <w:p>
      <w:pPr>
        <w:keepLines/>
        <w:spacing w:after="120" w:line="264"/>
        <w:jc w:val="both"/>
      </w:pPr>
      <w:r>
        <w:rPr>
          <w:rFonts w:ascii="Calibri" w:cs="Calibri" w:eastAsia="Calibri" w:hAnsi="Calibri"/>
          <w:sz w:val="22"/>
          <w:szCs w:val="22"/>
        </w:rPr>
        <w:t xml:space="preserve">Confidentiality: Use non-public financial, customer, product, security, personnel, pricing, strategy, and transaction information only for governance and lawful shareholder purposes; restrict access, preserve privilege, permit required professional and regulatory disclosure, and return or securely delete subject to legal retention.</w:t>
      </w:r>
    </w:p>
    <w:p>
      <w:pPr>
        <w:keepLines/>
        <w:spacing w:after="120" w:line="264"/>
        <w:jc w:val="both"/>
      </w:pPr>
      <w:r>
        <w:rPr>
          <w:rFonts w:ascii="Calibri" w:cs="Calibri" w:eastAsia="Calibri" w:hAnsi="Calibri"/>
          <w:sz w:val="22"/>
          <w:szCs w:val="22"/>
        </w:rPr>
        <w:t xml:space="preserve">Personal data: Process shareholder, beneficial-owner, employee, customer, and counterparty data only for identified lawful corporate, contract, compliance, tax, and dispute purposes with minimum access, secure transfer and storage, retention limits, rights handling, incident response, and verified destruction.</w:t>
      </w:r>
    </w:p>
    <w:p>
      <w:pPr>
        <w:keepLines/>
        <w:spacing w:after="120" w:line="264"/>
        <w:jc w:val="both"/>
      </w:pPr>
      <w:r>
        <w:rPr>
          <w:rFonts w:ascii="Calibri" w:cs="Calibri" w:eastAsia="Calibri" w:hAnsi="Calibri"/>
          <w:sz w:val="22"/>
          <w:szCs w:val="22"/>
        </w:rPr>
        <w:t xml:space="preserve">Competition and solicitation restrictions: During active management, no party may secretly divert a specific corporate opportunity or misuse confidential information; any post-exit non-solicit or competition restriction applies only to the narrow lawful activity, territory, persons, and duration independently supported by legitimate interests and final legal review. Any restriction applies only to the lawful, proportionate scope finally enforceable and does not restrain protected reporting, regulator cooperation, lawful work, or competition beyond legitimate interests.</w:t>
      </w:r>
    </w:p>
    <w:p>
      <w:pPr>
        <w:pStyle w:val="Heading2"/>
        <w:keepNext/>
        <w:spacing w:after="120" w:before="240"/>
      </w:pPr>
      <w:r>
        <w:rPr>
          <w:rFonts w:ascii="Calibri" w:cs="Calibri" w:eastAsia="Calibri" w:hAnsi="Calibri"/>
          <w:b/>
          <w:bCs/>
          <w:color w:val="102B3F"/>
          <w:sz w:val="26"/>
          <w:szCs w:val="26"/>
        </w:rPr>
        <w:t xml:space="preserve">DEADLOCK, BREACH, SUCCESSION, AND BUYOUT</w:t>
      </w:r>
    </w:p>
    <w:p>
      <w:pPr>
        <w:keepLines/>
        <w:spacing w:after="120" w:line="264"/>
        <w:jc w:val="both"/>
      </w:pPr>
      <w:r>
        <w:rPr>
          <w:rFonts w:ascii="Calibri" w:cs="Calibri" w:eastAsia="Calibri" w:hAnsi="Calibri"/>
          <w:sz w:val="22"/>
          <w:szCs w:val="22"/>
        </w:rPr>
        <w:t xml:space="preserve">Deadlock: A reserved-matter deadlock triggers a written issue statement and evidence exchange, one management meeting within ten business days, one shareholder meeting within ten further business days, and confidential mediation; unresolved operational matters preserve the last approved budget while a negotiated independent valuation or lawful court or SEC remedy is pursued without automatic dissolution. A deadlock does not authorize self-help, asset diversion, fabricated meetings, withheld records, or an unlawful forced transfer.</w:t>
      </w:r>
    </w:p>
    <w:p>
      <w:pPr>
        <w:keepLines/>
        <w:spacing w:after="120" w:line="264"/>
        <w:jc w:val="both"/>
      </w:pPr>
      <w:r>
        <w:rPr>
          <w:rFonts w:ascii="Calibri" w:cs="Calibri" w:eastAsia="Calibri" w:hAnsi="Calibri"/>
          <w:sz w:val="22"/>
          <w:szCs w:val="22"/>
        </w:rPr>
        <w:t xml:space="preserve">Material breach and cure: Give a specific written notice with the breached clause, facts, evidence, harm, and requested cure; allow fifteen business days to respond and cure when curable, preserve an impartial decision record, mitigate loss, and limit damages, injunction, specific performance, or termination to remedies lawfully available without penalty or forfeiture.</w:t>
      </w:r>
    </w:p>
    <w:p>
      <w:pPr>
        <w:keepLines/>
        <w:spacing w:after="120" w:line="264"/>
        <w:jc w:val="both"/>
      </w:pPr>
      <w:r>
        <w:rPr>
          <w:rFonts w:ascii="Calibri" w:cs="Calibri" w:eastAsia="Calibri" w:hAnsi="Calibri"/>
          <w:sz w:val="22"/>
          <w:szCs w:val="22"/>
        </w:rPr>
        <w:t xml:space="preserve">Death, disability, insolvency, estate, and successors: The affected holder or estate retains ownership until a lawful transfer; the representative supplies authority and receives notices and economic rights, while any buyout follows succession, guardianship, insolvency, tax, valuation, funding, certificate, and stock-book requirements and does not presume an heir is immediately a registered holder.</w:t>
      </w:r>
    </w:p>
    <w:p>
      <w:pPr>
        <w:keepLines/>
        <w:spacing w:after="120" w:line="264"/>
        <w:jc w:val="both"/>
      </w:pPr>
      <w:r>
        <w:rPr>
          <w:rFonts w:ascii="Calibri" w:cs="Calibri" w:eastAsia="Calibri" w:hAnsi="Calibri"/>
          <w:sz w:val="22"/>
          <w:szCs w:val="22"/>
        </w:rPr>
        <w:t xml:space="preserve">Buyout valuation, funding, and closing: Use the independent fair-market-value process, give both sides access to the same data and expert, close through escrow, pay twenty percent in cleared funds and the supported balance over twelve monthly installments with lawful interest and security, and use insurance only if verified policy ownership, proceeds, exclusions, and tax treatment permit.</w:t>
      </w:r>
    </w:p>
    <w:p>
      <w:pPr>
        <w:keepLines/>
        <w:spacing w:after="120" w:line="264"/>
        <w:jc w:val="both"/>
      </w:pPr>
      <w:r>
        <w:rPr>
          <w:rFonts w:ascii="Calibri" w:cs="Calibri" w:eastAsia="Calibri" w:hAnsi="Calibri"/>
          <w:sz w:val="22"/>
          <w:szCs w:val="22"/>
        </w:rPr>
        <w:t xml:space="preserve">Specific performance: each party agrees that damages alone may not adequately remedy a breach of the transfer, voting, accession, or confidentiality covenants in this Agreement, and that a non-breaching party may ask a court for specific performance, an injunction, or other provisional relief available under the Rules of Court, in addition to damages.</w:t>
      </w:r>
    </w:p>
    <w:p>
      <w:pPr>
        <w:pStyle w:val="Heading2"/>
        <w:keepNext/>
        <w:spacing w:after="120" w:before="240"/>
      </w:pPr>
      <w:r>
        <w:rPr>
          <w:rFonts w:ascii="Calibri" w:cs="Calibri" w:eastAsia="Calibri" w:hAnsi="Calibri"/>
          <w:b/>
          <w:bCs/>
          <w:color w:val="102B3F"/>
          <w:sz w:val="26"/>
          <w:szCs w:val="26"/>
        </w:rPr>
        <w:t xml:space="preserve">DISPUTE RESOLUTION</w:t>
      </w:r>
    </w:p>
    <w:p>
      <w:pPr>
        <w:keepLines/>
        <w:spacing w:after="120" w:line="264"/>
        <w:jc w:val="both"/>
      </w:pPr>
      <w:r>
        <w:rPr>
          <w:rFonts w:ascii="Calibri" w:cs="Calibri" w:eastAsia="Calibri" w:hAnsi="Calibri"/>
          <w:sz w:val="22"/>
          <w:szCs w:val="22"/>
        </w:rPr>
        <w:t xml:space="preserve">Any dispute among the parties arising from this Agreement, the Corporation’s governing documents, or their relations as shareholders shall be handled as follows. (a) The party raising the dispute gives the others written notice describing it and the relief sought. (b) The parties concerned meet and negotiate in good faith for 30 days after the notice. (c) If the dispute is not settled, they shall try mediation before a mediator they appoint jointly in writing; if no mediator is appointed within fifteen days, or the dispute is not settled within thirty days after the appointment, any of them may go to court. (d) Any court action shall be filed exclusively in the Regional Trial Court with jurisdiction over the Corporation’s principal office in Taguig City, Metro Manila, to the exclusion of all other courts. For intra-corporate controversies, Rule 1, Section 5 of the Interim Rules of Procedure for Intra-Corporate Controversies requires that venue.</w:t>
      </w:r>
    </w:p>
    <w:p>
      <w:pPr>
        <w:keepLines/>
        <w:spacing w:after="120" w:line="264"/>
        <w:jc w:val="both"/>
      </w:pPr>
      <w:r>
        <w:rPr>
          <w:rFonts w:ascii="Calibri" w:cs="Calibri" w:eastAsia="Calibri" w:hAnsi="Calibri"/>
          <w:sz w:val="22"/>
          <w:szCs w:val="22"/>
        </w:rPr>
        <w:t xml:space="preserve">This Agreement contains no agreement to arbitrate. An arbitration agreement covering intra-corporate disputes binds the Corporation only if it is placed in the articles of incorporation or bylaws and states the number of arbitrators and the procedure for their appointment by a designated independent third party (Revised Corporation Code, Sec. 181).</w:t>
      </w:r>
    </w:p>
    <w:p>
      <w:pPr>
        <w:keepLines/>
        <w:spacing w:after="120" w:line="264"/>
        <w:jc w:val="both"/>
      </w:pPr>
      <w:r>
        <w:rPr>
          <w:rFonts w:ascii="Calibri" w:cs="Calibri" w:eastAsia="Calibri" w:hAnsi="Calibri"/>
          <w:sz w:val="22"/>
          <w:szCs w:val="22"/>
        </w:rPr>
        <w:t xml:space="preserve">These steps do not prevent urgent provisional relief, regulatory reporting, a statutory SEC remedy, or filing within a prescriptive period.</w:t>
      </w:r>
    </w:p>
    <w:p>
      <w:pPr>
        <w:pStyle w:val="Heading2"/>
        <w:keepNext/>
        <w:spacing w:after="120" w:before="240"/>
      </w:pPr>
      <w:r>
        <w:rPr>
          <w:rFonts w:ascii="Calibri" w:cs="Calibri" w:eastAsia="Calibri" w:hAnsi="Calibri"/>
          <w:b/>
          <w:bCs/>
          <w:color w:val="102B3F"/>
          <w:sz w:val="26"/>
          <w:szCs w:val="26"/>
        </w:rPr>
        <w:t xml:space="preserve">TERM, ACCESSION, AMENDMENT, NOTICE, AND EXECUTION</w:t>
      </w:r>
    </w:p>
    <w:p>
      <w:pPr>
        <w:keepLines/>
        <w:spacing w:after="120" w:line="264"/>
        <w:jc w:val="both"/>
      </w:pPr>
      <w:r>
        <w:rPr>
          <w:rFonts w:ascii="Calibri" w:cs="Calibri" w:eastAsia="Calibri" w:hAnsi="Calibri"/>
          <w:sz w:val="22"/>
          <w:szCs w:val="22"/>
        </w:rPr>
        <w:t xml:space="preserve">The Agreement continues until a valid termination event, replacement agreement, dissolution, or other express ending mechanism, while accrued and expressly surviving obligations remain.</w:t>
      </w:r>
    </w:p>
    <w:p>
      <w:pPr>
        <w:keepLines/>
        <w:spacing w:after="120" w:line="264"/>
        <w:jc w:val="both"/>
      </w:pPr>
      <w:r>
        <w:rPr>
          <w:rFonts w:ascii="Calibri" w:cs="Calibri" w:eastAsia="Calibri" w:hAnsi="Calibri"/>
          <w:sz w:val="22"/>
          <w:szCs w:val="22"/>
        </w:rPr>
        <w:t xml:space="preserve">Accession: A permitted or approved transferee becomes a party only by signing the prescribed accession, proving identity, authority, beneficial ownership and eligibility, and completing taxes, approvals, certificates, HARBOR/GIS updates, and stock-book registration.</w:t>
      </w:r>
    </w:p>
    <w:p>
      <w:pPr>
        <w:keepLines/>
        <w:spacing w:after="120" w:line="264"/>
        <w:jc w:val="both"/>
      </w:pPr>
      <w:r>
        <w:rPr>
          <w:rFonts w:ascii="Calibri" w:cs="Calibri" w:eastAsia="Calibri" w:hAnsi="Calibri"/>
          <w:sz w:val="22"/>
          <w:szCs w:val="22"/>
        </w:rPr>
        <w:t xml:space="preserve">Amendment, waiver, and hierarchy: Every amendment or waiver must be written and signed by the parties whose rights are affected, approved by the Corporation when its obligations change, and accompanied by any required board, shareholder, class, articles, bylaws, SEC, regulator, certificate, or stock-book action; one waiver is not continuing. The parties will amend the articles, bylaws, certificates, corporate records, or separate instruments when those records must carry the intended legal effect; no private amendment overrides mandatory law or a nonparty right.</w:t>
      </w:r>
    </w:p>
    <w:p>
      <w:pPr>
        <w:keepLines/>
        <w:spacing w:after="120" w:line="264"/>
        <w:jc w:val="both"/>
      </w:pPr>
      <w:r>
        <w:rPr>
          <w:rFonts w:ascii="Calibri" w:cs="Calibri" w:eastAsia="Calibri" w:hAnsi="Calibri"/>
          <w:sz w:val="22"/>
          <w:szCs w:val="22"/>
        </w:rPr>
        <w:t xml:space="preserve">Notices: Send notices to the stated physical address by tracked courier and to the verified corporate email address with the signed attachment and delivery evidence; actual receipt controls when proved, while failed delivery requires prompt reasonable follow-up and address verification.</w:t>
      </w:r>
    </w:p>
    <w:p>
      <w:pPr>
        <w:keepLines/>
        <w:spacing w:after="120" w:line="264"/>
        <w:jc w:val="both"/>
      </w:pPr>
      <w:r>
        <w:rPr>
          <w:rFonts w:ascii="Calibri" w:cs="Calibri" w:eastAsia="Calibri" w:hAnsi="Calibri"/>
          <w:sz w:val="22"/>
          <w:szCs w:val="22"/>
        </w:rPr>
        <w:t xml:space="preserve">Execution: the parties sign by hand in the presence of two witnesses at Taguig City. Counterparts must be complete and identical. Electronic signatures require reliable attribution, intent, integrity, access, delivery, and retention evidence under the E-Commerce Act.</w:t>
      </w:r>
    </w:p>
    <w:p>
      <w:pPr>
        <w:keepLines/>
        <w:spacing w:after="120" w:line="264"/>
        <w:jc w:val="both"/>
      </w:pPr>
      <w:r>
        <w:rPr>
          <w:rFonts w:ascii="Calibri" w:cs="Calibri" w:eastAsia="Calibri" w:hAnsi="Calibri"/>
          <w:sz w:val="22"/>
          <w:szCs w:val="22"/>
        </w:rPr>
        <w:t xml:space="preserve">This Agreement contains the parties’ agreement on its subject, may be severed only to the minimum lawful extent, and is governed by Philippine law. No waiver is implied by delay, partial exercise, or an unauthorized act.</w:t>
      </w:r>
    </w:p>
    <w:p>
      <w:pPr>
        <w:keepNext/>
        <w:spacing w:after="260" w:before="360"/>
      </w:pPr>
      <w:r>
        <w:rPr>
          <w:rFonts w:ascii="Calibri" w:cs="Calibri" w:eastAsia="Calibri" w:hAnsi="Calibri"/>
          <w:b/>
          <w:bCs/>
          <w:sz w:val="22"/>
          <w:szCs w:val="22"/>
        </w:rPr>
        <w:t xml:space="preserve">Sign only after every schedule, capitalization figure, governing document, approval, restriction, tax route, and execution copy has been reconciled:</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SHAREHOLDER 1</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individual · Registered holder acting personally after government-ID, capacity, subscription, and stock-book verification · signature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SHAREHOLDER 2</w:t>
            </w:r>
          </w:p>
          <w:p>
            <w:pPr>
              <w:spacing w:after="120"/>
            </w:pPr>
            <w:r>
              <w:rPr>
                <w:rFonts w:ascii="Calibri" w:cs="Calibri" w:eastAsia="Calibri" w:hAnsi="Calibri"/>
                <w:sz w:val="22"/>
                <w:szCs w:val="22"/>
              </w:rPr>
              <w:t xml:space="preserve">Ana Lucia Reyes</w:t>
            </w:r>
          </w:p>
          <w:p>
            <w:pPr>
              <w:spacing w:after="120"/>
            </w:pPr>
            <w:r>
              <w:rPr>
                <w:rFonts w:ascii="Calibri" w:cs="Calibri" w:eastAsia="Calibri" w:hAnsi="Calibri"/>
                <w:sz w:val="22"/>
                <w:szCs w:val="22"/>
              </w:rPr>
              <w:t xml:space="preserve">individual · Registered holder acting personally after government-ID, capacity, subscription, and stock-book verification · signature and date</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THE CORPORATION</w:t>
            </w:r>
          </w:p>
          <w:p>
            <w:pPr>
              <w:spacing w:after="120"/>
            </w:pPr>
            <w:r>
              <w:rPr>
                <w:rFonts w:ascii="Calibri" w:cs="Calibri" w:eastAsia="Calibri" w:hAnsi="Calibri"/>
                <w:sz w:val="22"/>
                <w:szCs w:val="22"/>
              </w:rPr>
              <w:t xml:space="preserve">Bayanihan Workflow Systems, Inc.</w:t>
            </w:r>
          </w:p>
          <w:p>
            <w:pPr>
              <w:spacing w:after="120"/>
            </w:pPr>
            <w:r>
              <w:rPr>
                <w:rFonts w:ascii="Calibri" w:cs="Calibri" w:eastAsia="Calibri" w:hAnsi="Calibri"/>
                <w:sz w:val="22"/>
                <w:szCs w:val="22"/>
              </w:rPr>
              <w:t xml:space="preserve">By Maria Elena Santos, President · only under the attached valid corporate authority · signature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Witness · signature over printed name and date</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Witness · signature over printed name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Obtain current SEC records, articles, bylaws, amendments, 2026 GIS/HARBOR beneficial-ownership record, board and officer incumbency, stock and transfer book, certificates, subscriptions, liens, options, and capitalization reconciliation.</w:t>
      </w:r>
    </w:p>
    <w:p>
      <w:pPr>
        <w:pStyle w:val="ListParagraph"/>
        <w:keepNext/>
        <w:numPr>
          <w:ilvl w:val="0"/>
          <w:numId w:val="1"/>
        </w:numPr>
        <w:spacing w:after="120" w:line="264"/>
      </w:pPr>
      <w:r>
        <w:rPr>
          <w:rFonts w:ascii="Calibri" w:cs="Calibri" w:eastAsia="Calibri" w:hAnsi="Calibri"/>
          <w:sz w:val="22"/>
          <w:szCs w:val="22"/>
        </w:rPr>
        <w:t xml:space="preserve">Confirm the agreement is for an existing private domestic stock corporation; use specialist documents for incorporation, subscription, share sale, option, public offer, listed/reporting issuer, OPC, foreign corporation, bank, insurer, public utility, school, or another specially regulated entity.</w:t>
      </w:r>
    </w:p>
    <w:p>
      <w:pPr>
        <w:pStyle w:val="ListParagraph"/>
        <w:keepNext/>
        <w:numPr>
          <w:ilvl w:val="0"/>
          <w:numId w:val="1"/>
        </w:numPr>
        <w:spacing w:after="120" w:line="264"/>
      </w:pPr>
      <w:r>
        <w:rPr>
          <w:rFonts w:ascii="Calibri" w:cs="Calibri" w:eastAsia="Calibri" w:hAnsi="Calibri"/>
          <w:sz w:val="22"/>
          <w:szCs w:val="22"/>
        </w:rPr>
        <w:t xml:space="preserve">Map each clause to the lawful decision-maker: board, shareholders, a class, disinterested directors, independent directors, regulator, creditor, or contract counterparty; secure every required approval and do not use a private veto to fabricate corporate authority.</w:t>
      </w:r>
    </w:p>
    <w:p>
      <w:pPr>
        <w:pStyle w:val="ListParagraph"/>
        <w:keepNext/>
        <w:numPr>
          <w:ilvl w:val="0"/>
          <w:numId w:val="1"/>
        </w:numPr>
        <w:spacing w:after="120" w:line="264"/>
      </w:pPr>
      <w:r>
        <w:rPr>
          <w:rFonts w:ascii="Calibri" w:cs="Calibri" w:eastAsia="Calibri" w:hAnsi="Calibri"/>
          <w:sz w:val="22"/>
          <w:szCs w:val="22"/>
        </w:rPr>
        <w:t xml:space="preserve">For a close corporation, verify every Section 95 qualification and filed-articles provision, conspicuous transfer restriction, certificate notation, shareholder-management allocation, corresponding director liabilities, deadlock route, and withdrawal right.</w:t>
      </w:r>
    </w:p>
    <w:p>
      <w:pPr>
        <w:pStyle w:val="ListParagraph"/>
        <w:keepNext/>
        <w:numPr>
          <w:ilvl w:val="0"/>
          <w:numId w:val="1"/>
        </w:numPr>
        <w:spacing w:after="120" w:line="264"/>
      </w:pPr>
      <w:r>
        <w:rPr>
          <w:rFonts w:ascii="Calibri" w:cs="Calibri" w:eastAsia="Calibri" w:hAnsi="Calibri"/>
          <w:sz w:val="22"/>
          <w:szCs w:val="22"/>
        </w:rPr>
        <w:t xml:space="preserve">Reconcile every holder, class, certificate, paid status, voting right, proxy/voting arrangement, direct and indirect beneficial owner, nationality, and percentage. Recheck the current 13th RFINL, special laws, Anti-Dummy Law, and regulator-specific ownership and management restrictions.</w:t>
      </w:r>
    </w:p>
    <w:p>
      <w:pPr>
        <w:pStyle w:val="ListParagraph"/>
        <w:keepNext/>
        <w:numPr>
          <w:ilvl w:val="0"/>
          <w:numId w:val="1"/>
        </w:numPr>
        <w:spacing w:after="120" w:line="264"/>
      </w:pPr>
      <w:r>
        <w:rPr>
          <w:rFonts w:ascii="Calibri" w:cs="Calibri" w:eastAsia="Calibri" w:hAnsi="Calibri"/>
          <w:sz w:val="22"/>
          <w:szCs w:val="22"/>
        </w:rPr>
        <w:t xml:space="preserve">Treat a present or future issue, subscription, option, conversion, repurchase, redemption, dividend, or capital change as a separate corporate and tax event with valid consideration, approvals, records, disclosures, and solvency/capital analysis.</w:t>
      </w:r>
    </w:p>
    <w:p>
      <w:pPr>
        <w:pStyle w:val="ListParagraph"/>
        <w:keepNext/>
        <w:numPr>
          <w:ilvl w:val="0"/>
          <w:numId w:val="1"/>
        </w:numPr>
        <w:spacing w:after="120" w:line="264"/>
      </w:pPr>
      <w:r>
        <w:rPr>
          <w:rFonts w:ascii="Calibri" w:cs="Calibri" w:eastAsia="Calibri" w:hAnsi="Calibri"/>
          <w:sz w:val="22"/>
          <w:szCs w:val="22"/>
        </w:rPr>
        <w:t xml:space="preserve">For any sale or control change, use a separate final transfer instrument and closing checklist; verify Securities Regulation Code registration or exemption, anti-fraud disclosure, tender-offer rules where applicable, and current PCC control/threshold analysis before signing or consummation.</w:t>
      </w:r>
    </w:p>
    <w:p>
      <w:pPr>
        <w:pStyle w:val="ListParagraph"/>
        <w:keepNext/>
        <w:numPr>
          <w:ilvl w:val="0"/>
          <w:numId w:val="1"/>
        </w:numPr>
        <w:spacing w:after="120" w:line="264"/>
      </w:pPr>
      <w:r>
        <w:rPr>
          <w:rFonts w:ascii="Calibri" w:cs="Calibri" w:eastAsia="Calibri" w:hAnsi="Calibri"/>
          <w:sz w:val="22"/>
          <w:szCs w:val="22"/>
        </w:rPr>
        <w:t xml:space="preserve">For a 2026 control transaction, verify the ultimate-parent calculations and current PCC rules; both PHP 9.1 billion size-of-party and PHP 3.8 billion size-of-transaction thresholds are screening inputs, not the full legal test.</w:t>
      </w:r>
    </w:p>
    <w:p>
      <w:pPr>
        <w:pStyle w:val="ListParagraph"/>
        <w:keepNext/>
        <w:numPr>
          <w:ilvl w:val="0"/>
          <w:numId w:val="1"/>
        </w:numPr>
        <w:spacing w:after="120" w:line="264"/>
      </w:pPr>
      <w:r>
        <w:rPr>
          <w:rFonts w:ascii="Calibri" w:cs="Calibri" w:eastAsia="Calibri" w:hAnsi="Calibri"/>
          <w:sz w:val="22"/>
          <w:szCs w:val="22"/>
        </w:rPr>
        <w:t xml:space="preserve">Have a tax professional compute the actual share valuation, 15% net capital-gains route for covered unlisted domestic shares, listed-share stock transaction tax where applicable, DST, equity-compensation tax, related-party valuation, treaty, filing, eCAR/CAR, and stock-book prerequisites under rules effective at closing.</w:t>
      </w:r>
    </w:p>
    <w:p>
      <w:pPr>
        <w:pStyle w:val="ListParagraph"/>
        <w:keepNext/>
        <w:numPr>
          <w:ilvl w:val="0"/>
          <w:numId w:val="1"/>
        </w:numPr>
        <w:spacing w:after="120" w:line="264"/>
      </w:pPr>
      <w:r>
        <w:rPr>
          <w:rFonts w:ascii="Calibri" w:cs="Calibri" w:eastAsia="Calibri" w:hAnsi="Calibri"/>
          <w:sz w:val="22"/>
          <w:szCs w:val="22"/>
        </w:rPr>
        <w:t xml:space="preserve">Do not sign blank deeds or endorsements, surrender original certificates outside a controlled closing, backdate approvals, use undisclosed nominees, or describe a transfer as effective before taxes, approvals, certificate steps, and stock-and-transfer-book registration are complete.</w:t>
      </w:r>
    </w:p>
    <w:p>
      <w:pPr>
        <w:pStyle w:val="ListParagraph"/>
        <w:keepNext/>
        <w:numPr>
          <w:ilvl w:val="0"/>
          <w:numId w:val="1"/>
        </w:numPr>
        <w:spacing w:after="120" w:line="264"/>
      </w:pPr>
      <w:r>
        <w:rPr>
          <w:rFonts w:ascii="Calibri" w:cs="Calibri" w:eastAsia="Calibri" w:hAnsi="Calibri"/>
          <w:sz w:val="22"/>
          <w:szCs w:val="22"/>
        </w:rPr>
        <w:t xml:space="preserve">Verify that confidentiality, data, employment, service-equity, noncompetition, penalty, forfeiture, buyout, drag, and dispute clauses are proportionate, supported, and do not waive nonwaivable rights or obstruct regulators, protected reports, creditors, workers, estates, or courts.</w:t>
      </w:r>
    </w:p>
    <w:p>
      <w:pPr>
        <w:pStyle w:val="ListParagraph"/>
        <w:keepNext/>
        <w:numPr>
          <w:ilvl w:val="0"/>
          <w:numId w:val="1"/>
        </w:numPr>
        <w:spacing w:after="120" w:line="264"/>
      </w:pPr>
      <w:r>
        <w:rPr>
          <w:rFonts w:ascii="Calibri" w:cs="Calibri" w:eastAsia="Calibri" w:hAnsi="Calibri"/>
          <w:sz w:val="22"/>
          <w:szCs w:val="22"/>
        </w:rPr>
        <w:t xml:space="preserve">Attach final schedules for shareholders/capitalization, governing records, reserved matters, board rights, information package, funding, restrictions, valuation, notices, signature authorities, and any share transaction; identify each by date/version or hash and deliver an identical signed copy to every party.</w:t>
      </w:r>
    </w:p>
    <w:p>
      <w:pPr>
        <w:pStyle w:val="ListParagraph"/>
        <w:keepNext w:val="false"/>
        <w:numPr>
          <w:ilvl w:val="0"/>
          <w:numId w:val="1"/>
        </w:numPr>
        <w:spacing w:after="120" w:line="264"/>
      </w:pPr>
      <w:r>
        <w:rPr>
          <w:rFonts w:ascii="Calibri" w:cs="Calibri" w:eastAsia="Calibri" w:hAnsi="Calibri"/>
          <w:sz w:val="22"/>
          <w:szCs w:val="22"/>
        </w:rPr>
        <w:t xml:space="preserve">Read the filled-in right of first refusal, tag-along, drag-along, deadlock, breach, and buyout clauses and adjust the periods, thresholds, and prices to your actual deal before signing. Put the certificate legend on each share certificate and, where the transfer restrictions must bind outsiders, in the articles of incorporation and bylaws.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Engineering draft · independent Philippine corporate-lawyer review pending | Last legal check 2026-10-01 | Next review due 2026-12-31</w:t>
      </w:r>
    </w:p>
    <w:p>
      <w:pPr>
        <w:keepNext/>
        <w:spacing w:after="60" w:before="100"/>
      </w:pPr>
      <w:r>
        <w:rPr>
          <w:rFonts w:ascii="Calibri" w:cs="Calibri" w:eastAsia="Calibri" w:hAnsi="Calibri"/>
          <w:b/>
          <w:bCs/>
          <w:sz w:val="18"/>
          <w:szCs w:val="18"/>
        </w:rPr>
        <w:t xml:space="preserve">Republic Act No. 11232 — Revised Corporation Code - Sections 22–23, 31–39, 48–59 (Sec. 58 voting trusts), 62–63, 73–81, 95–104 (Sec. 97 transfer restrictions), and 181 (arbitration agreements for corporations must be in the articles or bylaws) — board powers, conflicts, capital actions, meetings, voting, transfers, records, appraisal rights, close corporations, and arbitration (checked 2026-10-01)</w:t>
      </w:r>
    </w:p>
    <w:p>
      <w:pPr>
        <w:spacing w:after="120"/>
      </w:pPr>
      <w:hyperlink w:history="1" r:id="rIdvohcpuhtffop0qdmzye8w">
        <w:r>
          <w:rPr>
            <w:rFonts w:ascii="Calibri" w:cs="Calibri" w:eastAsia="Calibri" w:hAnsi="Calibri"/>
            <w:color w:val="315B75"/>
            <w:sz w:val="17"/>
            <w:szCs w:val="17"/>
            <w:u w:val="single"/>
          </w:rPr>
          <w:t xml:space="preserve">https://lawphil.net/statutes/repacts/ra2019/ra_11232_2019.html</w:t>
        </w:r>
      </w:hyperlink>
    </w:p>
    <w:p>
      <w:pPr>
        <w:keepNext/>
        <w:spacing w:after="60" w:before="100"/>
      </w:pPr>
      <w:r>
        <w:rPr>
          <w:rFonts w:ascii="Calibri" w:cs="Calibri" w:eastAsia="Calibri" w:hAnsi="Calibri"/>
          <w:b/>
          <w:bCs/>
          <w:sz w:val="18"/>
          <w:szCs w:val="18"/>
        </w:rPr>
        <w:t xml:space="preserve">Interim Rules of Procedure for Intra-Corporate Controversies, A.M. No. 01-2-04-SC - Rule 1, Sec. 1(a) (controversies arising out of intra-corporate relations) and Sec. 5 (venue in the Regional Trial Court with jurisdiction over the principal office) (checked 2026-10-01)</w:t>
      </w:r>
    </w:p>
    <w:p>
      <w:pPr>
        <w:spacing w:after="120"/>
      </w:pPr>
      <w:hyperlink w:history="1" r:id="rId5jgypergylqm1o52mpalb">
        <w:r>
          <w:rPr>
            <w:rFonts w:ascii="Calibri" w:cs="Calibri" w:eastAsia="Calibri" w:hAnsi="Calibri"/>
            <w:color w:val="315B75"/>
            <w:sz w:val="17"/>
            <w:szCs w:val="17"/>
            <w:u w:val="single"/>
          </w:rPr>
          <w:t xml:space="preserve">https://lawphil.net/courts/supreme/am/am_2_04_2001.html</w:t>
        </w:r>
      </w:hyperlink>
    </w:p>
    <w:p>
      <w:pPr>
        <w:keepNext/>
        <w:spacing w:after="60" w:before="100"/>
      </w:pPr>
      <w:r>
        <w:rPr>
          <w:rFonts w:ascii="Calibri" w:cs="Calibri" w:eastAsia="Calibri" w:hAnsi="Calibri"/>
          <w:b/>
          <w:bCs/>
          <w:sz w:val="18"/>
          <w:szCs w:val="18"/>
        </w:rPr>
        <w:t xml:space="preserve">Republic Act No. 386 — Civil Code - Articles 1159, 1305–1317, 1330–1346, 1356–1358, and 1409 — force and limits of contract, consent, representation, defects, form, and void agreements (checked 2026-08-31)</w:t>
      </w:r>
    </w:p>
    <w:p>
      <w:pPr>
        <w:spacing w:after="120"/>
      </w:pPr>
      <w:hyperlink w:history="1" r:id="rIdw_dlfalkadzh5gybtayey">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8799 — Securities Regulation Code - Sections 8–10, 26–27, and 50–54 — registration, exempt transactions, anti-fraud, tender offers, proxies, and beneficial ownership (checked 2026-08-31)</w:t>
      </w:r>
    </w:p>
    <w:p>
      <w:pPr>
        <w:spacing w:after="120"/>
      </w:pPr>
      <w:hyperlink w:history="1" r:id="rIdn8-yv6qq4_k0turhusej2">
        <w:r>
          <w:rPr>
            <w:rFonts w:ascii="Calibri" w:cs="Calibri" w:eastAsia="Calibri" w:hAnsi="Calibri"/>
            <w:color w:val="315B75"/>
            <w:sz w:val="17"/>
            <w:szCs w:val="17"/>
            <w:u w:val="single"/>
          </w:rPr>
          <w:t xml:space="preserve">https://lawphil.net/statutes/repacts/ra2000/ra_8799_2000.html</w:t>
        </w:r>
      </w:hyperlink>
    </w:p>
    <w:p>
      <w:pPr>
        <w:keepNext/>
        <w:spacing w:after="60" w:before="100"/>
      </w:pPr>
      <w:r>
        <w:rPr>
          <w:rFonts w:ascii="Calibri" w:cs="Calibri" w:eastAsia="Calibri" w:hAnsi="Calibri"/>
          <w:b/>
          <w:bCs/>
          <w:sz w:val="18"/>
          <w:szCs w:val="18"/>
        </w:rPr>
        <w:t xml:space="preserve">1987 Constitution of the Republic of the Philippines - Article XII and Article XVI — national patrimony, investment, land, public-utility, and mass-media ownership constraints (checked 2026-08-31)</w:t>
      </w:r>
    </w:p>
    <w:p>
      <w:pPr>
        <w:spacing w:after="120"/>
      </w:pPr>
      <w:hyperlink w:history="1" r:id="rIdx-a9ztp3iejtkfjcfgqqs">
        <w:r>
          <w:rPr>
            <w:rFonts w:ascii="Calibri" w:cs="Calibri" w:eastAsia="Calibri" w:hAnsi="Calibri"/>
            <w:color w:val="315B75"/>
            <w:sz w:val="17"/>
            <w:szCs w:val="17"/>
            <w:u w:val="single"/>
          </w:rPr>
          <w:t xml:space="preserve">https://lawphil.net/consti/cons1987.html</w:t>
        </w:r>
      </w:hyperlink>
    </w:p>
    <w:p>
      <w:pPr>
        <w:keepNext/>
        <w:spacing w:after="60" w:before="100"/>
      </w:pPr>
      <w:r>
        <w:rPr>
          <w:rFonts w:ascii="Calibri" w:cs="Calibri" w:eastAsia="Calibri" w:hAnsi="Calibri"/>
          <w:b/>
          <w:bCs/>
          <w:sz w:val="18"/>
          <w:szCs w:val="18"/>
        </w:rPr>
        <w:t xml:space="preserve">Republic Act No. 11647 — Foreign Investments Act amendments - Foreign investment, Philippine-national definition, domestic-market enterprise, registration, and reserved-activity framework (checked 2026-08-31)</w:t>
      </w:r>
    </w:p>
    <w:p>
      <w:pPr>
        <w:spacing w:after="120"/>
      </w:pPr>
      <w:hyperlink w:history="1" r:id="rId2q2u_4d-mpqrwgmzedhpe">
        <w:r>
          <w:rPr>
            <w:rFonts w:ascii="Calibri" w:cs="Calibri" w:eastAsia="Calibri" w:hAnsi="Calibri"/>
            <w:color w:val="315B75"/>
            <w:sz w:val="17"/>
            <w:szCs w:val="17"/>
            <w:u w:val="single"/>
          </w:rPr>
          <w:t xml:space="preserve">https://lawphil.net/statutes/repacts/ra2022/ra_11647_2022.html</w:t>
        </w:r>
      </w:hyperlink>
    </w:p>
    <w:p>
      <w:pPr>
        <w:keepNext/>
        <w:spacing w:after="60" w:before="100"/>
      </w:pPr>
      <w:r>
        <w:rPr>
          <w:rFonts w:ascii="Calibri" w:cs="Calibri" w:eastAsia="Calibri" w:hAnsi="Calibri"/>
          <w:b/>
          <w:bCs/>
          <w:sz w:val="18"/>
          <w:szCs w:val="18"/>
        </w:rPr>
        <w:t xml:space="preserve">Executive Order No. 113, s. 2026 — 13th Regular Foreign Investment Negative List - Current activities and enterprises reserved to Philippine nationals or subject to foreign-equity limits (checked 2026-08-31)</w:t>
      </w:r>
    </w:p>
    <w:p>
      <w:pPr>
        <w:spacing w:after="120"/>
      </w:pPr>
      <w:hyperlink w:history="1" r:id="rId4irkkgo9r4h0xx-fscpmk">
        <w:r>
          <w:rPr>
            <w:rFonts w:ascii="Calibri" w:cs="Calibri" w:eastAsia="Calibri" w:hAnsi="Calibri"/>
            <w:color w:val="315B75"/>
            <w:sz w:val="17"/>
            <w:szCs w:val="17"/>
            <w:u w:val="single"/>
          </w:rPr>
          <w:t xml:space="preserve">https://lawphil.net/executive/execord/eo2026/eo_113_2026.html</w:t>
        </w:r>
      </w:hyperlink>
    </w:p>
    <w:p>
      <w:pPr>
        <w:keepNext/>
        <w:spacing w:after="60" w:before="100"/>
      </w:pPr>
      <w:r>
        <w:rPr>
          <w:rFonts w:ascii="Calibri" w:cs="Calibri" w:eastAsia="Calibri" w:hAnsi="Calibri"/>
          <w:b/>
          <w:bCs/>
          <w:sz w:val="18"/>
          <w:szCs w:val="18"/>
        </w:rPr>
        <w:t xml:space="preserve">Republic Act No. 10667 — Philippine Competition Act - Sections 4 and 16–23 — control, merger or acquisition review, compulsory notification, waiting period, voidness, and prohibited transactions (checked 2026-08-31)</w:t>
      </w:r>
    </w:p>
    <w:p>
      <w:pPr>
        <w:spacing w:after="120"/>
      </w:pPr>
      <w:hyperlink w:history="1" r:id="rIdvue-ktqs1gedebwiypr8n">
        <w:r>
          <w:rPr>
            <w:rFonts w:ascii="Calibri" w:cs="Calibri" w:eastAsia="Calibri" w:hAnsi="Calibri"/>
            <w:color w:val="315B75"/>
            <w:sz w:val="17"/>
            <w:szCs w:val="17"/>
            <w:u w:val="single"/>
          </w:rPr>
          <w:t xml:space="preserve">https://lawphil.net/statutes/repacts/ra2015/ra_10667_2015.html</w:t>
        </w:r>
      </w:hyperlink>
    </w:p>
    <w:p>
      <w:pPr>
        <w:keepNext/>
        <w:spacing w:after="60" w:before="100"/>
      </w:pPr>
      <w:r>
        <w:rPr>
          <w:rFonts w:ascii="Calibri" w:cs="Calibri" w:eastAsia="Calibri" w:hAnsi="Calibri"/>
          <w:b/>
          <w:bCs/>
          <w:sz w:val="18"/>
          <w:szCs w:val="18"/>
        </w:rPr>
        <w:t xml:space="preserve">PCC 2026 Merger Notification Thresholds - Effective 1 March 2026: PHP 9.1 billion size of party and PHP 3.8 billion size of transaction; both thresholds and current computation rules must be checked (checked 2026-08-31)</w:t>
      </w:r>
    </w:p>
    <w:p>
      <w:pPr>
        <w:spacing w:after="120"/>
      </w:pPr>
      <w:hyperlink w:history="1" r:id="rIdcstoineg_siwnb9exjnvb">
        <w:r>
          <w:rPr>
            <w:rFonts w:ascii="Calibri" w:cs="Calibri" w:eastAsia="Calibri" w:hAnsi="Calibri"/>
            <w:color w:val="315B75"/>
            <w:sz w:val="17"/>
            <w:szCs w:val="17"/>
            <w:u w:val="single"/>
          </w:rPr>
          <w:t xml:space="preserve">https://www.phcc.gov.ph/mergers-and-acquisitions/computing-merger-thresholds</w:t>
        </w:r>
      </w:hyperlink>
    </w:p>
    <w:p>
      <w:pPr>
        <w:keepNext/>
        <w:spacing w:after="60" w:before="100"/>
      </w:pPr>
      <w:r>
        <w:rPr>
          <w:rFonts w:ascii="Calibri" w:cs="Calibri" w:eastAsia="Calibri" w:hAnsi="Calibri"/>
          <w:b/>
          <w:bCs/>
          <w:sz w:val="18"/>
          <w:szCs w:val="18"/>
        </w:rPr>
        <w:t xml:space="preserve">BIR Revenue Memorandum Circular No. 6-2022 — DST on Transfers of Shares - Documentary stamp tax coverage for sales, agreements, deliveries, and transfers of shares under Tax Code Section 175 (checked 2026-08-31)</w:t>
      </w:r>
    </w:p>
    <w:p>
      <w:pPr>
        <w:spacing w:after="120"/>
      </w:pPr>
      <w:hyperlink w:history="1" r:id="rIdrjsq9r2ll7lwa-j5xmzd9">
        <w:r>
          <w:rPr>
            <w:rFonts w:ascii="Calibri" w:cs="Calibri" w:eastAsia="Calibri" w:hAnsi="Calibri"/>
            <w:color w:val="315B75"/>
            <w:sz w:val="17"/>
            <w:szCs w:val="17"/>
            <w:u w:val="single"/>
          </w:rPr>
          <w:t xml:space="preserve">https://bir-cdn.bir.gov.ph/local/pdf/RMC%20No.%206-2022%202%20%281%29.pdf</w:t>
        </w:r>
      </w:hyperlink>
    </w:p>
    <w:p>
      <w:pPr>
        <w:keepNext/>
        <w:spacing w:after="60" w:before="100"/>
      </w:pPr>
      <w:r>
        <w:rPr>
          <w:rFonts w:ascii="Calibri" w:cs="Calibri" w:eastAsia="Calibri" w:hAnsi="Calibri"/>
          <w:b/>
          <w:bCs/>
          <w:sz w:val="18"/>
          <w:szCs w:val="18"/>
        </w:rPr>
        <w:t xml:space="preserve">BIR Revenue Memorandum Circular No. 60-2025, Annex A — CMEPA tax amendments - Current tax treatment of unlisted domestic shares and equity-based compensation after R.A. No. 12214 (checked 2026-08-31)</w:t>
      </w:r>
    </w:p>
    <w:p>
      <w:pPr>
        <w:spacing w:after="120"/>
      </w:pPr>
      <w:hyperlink w:history="1" r:id="rId_bx6d1ore2ofzilmbzv19">
        <w:r>
          <w:rPr>
            <w:rFonts w:ascii="Calibri" w:cs="Calibri" w:eastAsia="Calibri" w:hAnsi="Calibri"/>
            <w:color w:val="315B75"/>
            <w:sz w:val="17"/>
            <w:szCs w:val="17"/>
            <w:u w:val="single"/>
          </w:rPr>
          <w:t xml:space="preserve">https://bir-cdn.bir.gov.ph/BIR/pdf/RMC%20NO.%2060-2025%20Annex%20A.pdf</w:t>
        </w:r>
      </w:hyperlink>
    </w:p>
    <w:p>
      <w:pPr>
        <w:keepNext/>
        <w:spacing w:after="60" w:before="100"/>
      </w:pPr>
      <w:r>
        <w:rPr>
          <w:rFonts w:ascii="Calibri" w:cs="Calibri" w:eastAsia="Calibri" w:hAnsi="Calibri"/>
          <w:b/>
          <w:bCs/>
          <w:sz w:val="18"/>
          <w:szCs w:val="18"/>
        </w:rPr>
        <w:t xml:space="preserve">SEC HARBOR — Beneficial Ownership Registry - Current centralized beneficial-ownership declaration and corporate registration workflow (checked 2026-08-31)</w:t>
      </w:r>
    </w:p>
    <w:p>
      <w:pPr>
        <w:spacing w:after="120"/>
      </w:pPr>
      <w:hyperlink w:history="1" r:id="rId-pdwyck9-u-6qmrcz1krf">
        <w:r>
          <w:rPr>
            <w:rFonts w:ascii="Calibri" w:cs="Calibri" w:eastAsia="Calibri" w:hAnsi="Calibri"/>
            <w:color w:val="315B75"/>
            <w:sz w:val="17"/>
            <w:szCs w:val="17"/>
            <w:u w:val="single"/>
          </w:rPr>
          <w:t xml:space="preserve">https://harbor.sec.gov.ph/</w:t>
        </w:r>
      </w:hyperlink>
    </w:p>
    <w:p>
      <w:pPr>
        <w:keepNext/>
        <w:spacing w:after="60" w:before="100"/>
      </w:pPr>
      <w:r>
        <w:rPr>
          <w:rFonts w:ascii="Calibri" w:cs="Calibri" w:eastAsia="Calibri" w:hAnsi="Calibri"/>
          <w:b/>
          <w:bCs/>
          <w:sz w:val="18"/>
          <w:szCs w:val="18"/>
        </w:rPr>
        <w:t xml:space="preserve">Republic Act No. 10173 — Data Privacy Act - Transparency, legitimate purpose, proportionality, security, data-subject rights, and lawful processing of shareholder and beneficial-owner data (checked 2026-08-31)</w:t>
      </w:r>
    </w:p>
    <w:p>
      <w:pPr>
        <w:spacing w:after="120"/>
      </w:pPr>
      <w:hyperlink w:history="1" r:id="rIdlydpeq8dp05avw4v9qwvk">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Republic Act No. 8792 — Electronic Commerce Act - Electronic documents, signatures, attribution, integrity, originals, retention, and evidentiary effect (checked 2026-08-31)</w:t>
      </w:r>
    </w:p>
    <w:p>
      <w:pPr>
        <w:spacing w:after="120"/>
      </w:pPr>
      <w:hyperlink w:history="1" r:id="rId-mk7vgbkzf_7htyi_jert">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hcpuhtffop0qdmzye8w" Type="http://schemas.openxmlformats.org/officeDocument/2006/relationships/hyperlink" Target="https://lawphil.net/statutes/repacts/ra2019/ra_11232_2019.html" TargetMode="External"/><Relationship Id="rId5jgypergylqm1o52mpalb" Type="http://schemas.openxmlformats.org/officeDocument/2006/relationships/hyperlink" Target="https://lawphil.net/courts/supreme/am/am_2_04_2001.html" TargetMode="External"/><Relationship Id="rIdw_dlfalkadzh5gybtayey" Type="http://schemas.openxmlformats.org/officeDocument/2006/relationships/hyperlink" Target="https://lawphil.net/statutes/repacts/ra1949/ra_386_1949.html" TargetMode="External"/><Relationship Id="rIdn8-yv6qq4_k0turhusej2" Type="http://schemas.openxmlformats.org/officeDocument/2006/relationships/hyperlink" Target="https://lawphil.net/statutes/repacts/ra2000/ra_8799_2000.html" TargetMode="External"/><Relationship Id="rIdx-a9ztp3iejtkfjcfgqqs" Type="http://schemas.openxmlformats.org/officeDocument/2006/relationships/hyperlink" Target="https://lawphil.net/consti/cons1987.html" TargetMode="External"/><Relationship Id="rId2q2u_4d-mpqrwgmzedhpe" Type="http://schemas.openxmlformats.org/officeDocument/2006/relationships/hyperlink" Target="https://lawphil.net/statutes/repacts/ra2022/ra_11647_2022.html" TargetMode="External"/><Relationship Id="rId4irkkgo9r4h0xx-fscpmk" Type="http://schemas.openxmlformats.org/officeDocument/2006/relationships/hyperlink" Target="https://lawphil.net/executive/execord/eo2026/eo_113_2026.html" TargetMode="External"/><Relationship Id="rIdvue-ktqs1gedebwiypr8n" Type="http://schemas.openxmlformats.org/officeDocument/2006/relationships/hyperlink" Target="https://lawphil.net/statutes/repacts/ra2015/ra_10667_2015.html" TargetMode="External"/><Relationship Id="rIdcstoineg_siwnb9exjnvb" Type="http://schemas.openxmlformats.org/officeDocument/2006/relationships/hyperlink" Target="https://www.phcc.gov.ph/mergers-and-acquisitions/computing-merger-thresholds" TargetMode="External"/><Relationship Id="rIdrjsq9r2ll7lwa-j5xmzd9" Type="http://schemas.openxmlformats.org/officeDocument/2006/relationships/hyperlink" Target="https://bir-cdn.bir.gov.ph/local/pdf/RMC%20No.%206-2022%202%20%281%29.pdf" TargetMode="External"/><Relationship Id="rId_bx6d1ore2ofzilmbzv19" Type="http://schemas.openxmlformats.org/officeDocument/2006/relationships/hyperlink" Target="https://bir-cdn.bir.gov.ph/BIR/pdf/RMC%20NO.%2060-2025%20Annex%20A.pdf" TargetMode="External"/><Relationship Id="rId-pdwyck9-u-6qmrcz1krf" Type="http://schemas.openxmlformats.org/officeDocument/2006/relationships/hyperlink" Target="https://harbor.sec.gov.ph/" TargetMode="External"/><Relationship Id="rIdlydpeq8dp05avw4v9qwvk" Type="http://schemas.openxmlformats.org/officeDocument/2006/relationships/hyperlink" Target="https://lawphil.net/statutes/repacts/ra2012/ra_10173_2012.html" TargetMode="External"/><Relationship Id="rId-mk7vgbkzf_7htyi_jert" Type="http://schemas.openxmlformats.org/officeDocument/2006/relationships/hyperlink" Target="https://lawphil.net/statutes/repacts/ra2000/ra_8792_2000.html"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dc:title>
  <dc:creator>LAW.PH</dc:creator>
  <dc:description>Free sample of the Shareholders' Agreement from LAW.PH, with fictional details</dc:description>
  <cp:lastModifiedBy>Un-named</cp:lastModifiedBy>
  <cp:revision>1</cp:revision>
  <dcterms:created xsi:type="dcterms:W3CDTF">2026-10-02T05:29:58.627Z</dcterms:created>
  <dcterms:modified xsi:type="dcterms:W3CDTF">2026-10-02T05:29:58.627Z</dcterms:modified>
</cp:coreProperties>
</file>

<file path=docProps/custom.xml><?xml version="1.0" encoding="utf-8"?>
<Properties xmlns="http://schemas.openxmlformats.org/officeDocument/2006/custom-properties" xmlns:vt="http://schemas.openxmlformats.org/officeDocument/2006/docPropsVTypes"/>
</file>