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SOFTWARE DEVELOPMENT AGREEMENT</w:t>
      </w:r>
    </w:p>
    <w:p>
      <w:pPr>
        <w:spacing w:after="160"/>
        <w:jc w:val="center"/>
      </w:pPr>
      <w:r>
        <w:rPr>
          <w:rFonts w:ascii="Calibri" w:cs="Calibri" w:eastAsia="Calibri" w:hAnsi="Calibri"/>
          <w:color w:val="566674"/>
          <w:sz w:val="18"/>
          <w:szCs w:val="18"/>
        </w:rPr>
        <w:t xml:space="preserve">Republic of the Philippines — Custom software project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technology-lawyer review pending</w:t>
      </w:r>
    </w:p>
    <w:p>
      <w:pPr>
        <w:keepLines/>
        <w:spacing w:after="120" w:line="264"/>
        <w:jc w:val="both"/>
      </w:pPr>
      <w:r>
        <w:rPr>
          <w:rFonts w:ascii="Calibri" w:cs="Calibri" w:eastAsia="Calibri" w:hAnsi="Calibri"/>
          <w:sz w:val="22"/>
          <w:szCs w:val="22"/>
        </w:rPr>
        <w:t xml:space="preserve">This Software Development Agreement (the "Agreement") is made on October 10, 2026 at Cebu City, Philippines, between Sampaguita Trading Corporation, with principal office at 22 Bonifacio Street, Cebu City 6000 (the "Client"), and Kalikasan Software Studio, Inc., with address at 9/F Cebu IT Park, Lahug, Cebu City 6000 (the "Developer").</w:t>
      </w:r>
    </w:p>
    <w:p>
      <w:pPr>
        <w:pStyle w:val="Heading2"/>
        <w:keepNext/>
        <w:spacing w:after="120" w:before="240"/>
      </w:pPr>
      <w:r>
        <w:rPr>
          <w:rFonts w:ascii="Calibri" w:cs="Calibri" w:eastAsia="Calibri" w:hAnsi="Calibri"/>
          <w:b/>
          <w:bCs/>
          <w:color w:val="102B3F"/>
          <w:sz w:val="26"/>
          <w:szCs w:val="26"/>
        </w:rPr>
        <w:t xml:space="preserve">1. The project</w:t>
      </w:r>
    </w:p>
    <w:p>
      <w:pPr>
        <w:keepLines/>
        <w:spacing w:after="120" w:line="264"/>
        <w:jc w:val="both"/>
      </w:pPr>
      <w:r>
        <w:rPr>
          <w:rFonts w:ascii="Calibri" w:cs="Calibri" w:eastAsia="Calibri" w:hAnsi="Calibri"/>
          <w:sz w:val="22"/>
          <w:szCs w:val="22"/>
        </w:rPr>
        <w:t xml:space="preserve">The Developer shall design, build, test, and deliver the software known as "Sampaguita Order Management Portal" (the "Software"), a contract for a piece of work under Articles 1713 and following of the Civil Code. The Software shall do the following: A web portal where the Client's resellers place and track orders, view invoices, and download statements, with an admin console for the Client's staff to manage products, prices, and orders.</w:t>
      </w:r>
    </w:p>
    <w:p>
      <w:pPr>
        <w:keepLines/>
        <w:spacing w:after="120" w:line="264"/>
        <w:jc w:val="both"/>
      </w:pPr>
      <w:r>
        <w:rPr>
          <w:rFonts w:ascii="Calibri" w:cs="Calibri" w:eastAsia="Calibri" w:hAnsi="Calibri"/>
          <w:sz w:val="22"/>
          <w:szCs w:val="22"/>
        </w:rPr>
        <w:t xml:space="preserve">The deliverables are: Source code and repository, a deployed production application, an administrator manual, API documentation, and test reports. The technology and platform are: React web front end with a Node.js API and a PostgreSQL database, hosted on the Client's cloud account.</w:t>
      </w:r>
    </w:p>
    <w:p>
      <w:pPr>
        <w:keepLines/>
        <w:spacing w:after="120" w:line="264"/>
        <w:jc w:val="both"/>
      </w:pPr>
      <w:r>
        <w:rPr>
          <w:rFonts w:ascii="Calibri" w:cs="Calibri" w:eastAsia="Calibri" w:hAnsi="Calibri"/>
          <w:sz w:val="22"/>
          <w:szCs w:val="22"/>
        </w:rPr>
        <w:t xml:space="preserve">Any change to the scope, schedule, or price shall be made only through a written change order that both parties sign. Neither party is bound by an unwritten change.</w:t>
      </w:r>
    </w:p>
    <w:p>
      <w:pPr>
        <w:pStyle w:val="Heading2"/>
        <w:keepNext/>
        <w:spacing w:after="120" w:before="240"/>
      </w:pPr>
      <w:r>
        <w:rPr>
          <w:rFonts w:ascii="Calibri" w:cs="Calibri" w:eastAsia="Calibri" w:hAnsi="Calibri"/>
          <w:b/>
          <w:bCs/>
          <w:color w:val="102B3F"/>
          <w:sz w:val="26"/>
          <w:szCs w:val="26"/>
        </w:rPr>
        <w:t xml:space="preserve">2. Schedule and fees</w:t>
      </w:r>
    </w:p>
    <w:p>
      <w:pPr>
        <w:keepLines/>
        <w:spacing w:after="120" w:line="264"/>
        <w:jc w:val="both"/>
      </w:pPr>
      <w:r>
        <w:rPr>
          <w:rFonts w:ascii="Calibri" w:cs="Calibri" w:eastAsia="Calibri" w:hAnsi="Calibri"/>
          <w:sz w:val="22"/>
          <w:szCs w:val="22"/>
        </w:rPr>
        <w:t xml:space="preserve">The Developer shall start work on October 15, 2026 and deliver the finished Software on or before March 15, 2027. The total fee is Three Hundred Fifty Thousand Pesos (PHP 350,000.00), payable against the following milestones:</w:t>
      </w:r>
    </w:p>
    <w:p>
      <w:pPr>
        <w:keepLines/>
        <w:spacing w:after="120" w:line="264"/>
        <w:jc w:val="both"/>
      </w:pPr>
      <w:r>
        <w:rPr>
          <w:rFonts w:ascii="Calibri" w:cs="Calibri" w:eastAsia="Calibri" w:hAnsi="Calibri"/>
          <w:sz w:val="22"/>
          <w:szCs w:val="22"/>
        </w:rPr>
        <w:t xml:space="preserve">Milestone 1: Design approved, due on November 15, 2026, payment of One Hundred Thousand Pesos (PHP 100,000.00).</w:t>
      </w:r>
    </w:p>
    <w:p>
      <w:pPr>
        <w:keepLines/>
        <w:spacing w:after="120" w:line="264"/>
        <w:jc w:val="both"/>
      </w:pPr>
      <w:r>
        <w:rPr>
          <w:rFonts w:ascii="Calibri" w:cs="Calibri" w:eastAsia="Calibri" w:hAnsi="Calibri"/>
          <w:sz w:val="22"/>
          <w:szCs w:val="22"/>
        </w:rPr>
        <w:t xml:space="preserve">Milestone 2: Beta delivered, due on January 31, 2027, payment of One Hundred Fifty Thousand Pesos (PHP 150,000.00).</w:t>
      </w:r>
    </w:p>
    <w:p>
      <w:pPr>
        <w:keepLines/>
        <w:spacing w:after="120" w:line="264"/>
        <w:jc w:val="both"/>
      </w:pPr>
      <w:r>
        <w:rPr>
          <w:rFonts w:ascii="Calibri" w:cs="Calibri" w:eastAsia="Calibri" w:hAnsi="Calibri"/>
          <w:sz w:val="22"/>
          <w:szCs w:val="22"/>
        </w:rPr>
        <w:t xml:space="preserve">Milestone 3: Final acceptance, due on March 15, 2027, payment of One Hundred Thousand Pesos (PHP 100,000.00).</w:t>
      </w:r>
    </w:p>
    <w:p>
      <w:pPr>
        <w:keepLines/>
        <w:spacing w:after="120" w:line="264"/>
        <w:jc w:val="both"/>
      </w:pPr>
      <w:r>
        <w:rPr>
          <w:rFonts w:ascii="Calibri" w:cs="Calibri" w:eastAsia="Calibri" w:hAnsi="Calibri"/>
          <w:sz w:val="22"/>
          <w:szCs w:val="22"/>
        </w:rPr>
        <w:t xml:space="preserve">The fees are stated exclusive of value-added tax, which the Client shall pay in addition against a valid invoice.</w:t>
      </w:r>
    </w:p>
    <w:p>
      <w:pPr>
        <w:keepLines/>
        <w:spacing w:after="120" w:line="264"/>
        <w:jc w:val="both"/>
      </w:pPr>
      <w:r>
        <w:rPr>
          <w:rFonts w:ascii="Calibri" w:cs="Calibri" w:eastAsia="Calibri" w:hAnsi="Calibri"/>
          <w:sz w:val="22"/>
          <w:szCs w:val="22"/>
        </w:rPr>
        <w:t xml:space="preserve">An overdue payment bears interest at 6% per year from the due date until paid. This is not an authority for an unconscionable rate, and a court may reduce an iniquitous interest or penalty (Article 1229).</w:t>
      </w:r>
    </w:p>
    <w:p>
      <w:pPr>
        <w:keepLines/>
        <w:spacing w:after="120" w:line="264"/>
        <w:jc w:val="both"/>
      </w:pPr>
      <w:r>
        <w:rPr>
          <w:rFonts w:ascii="Calibri" w:cs="Calibri" w:eastAsia="Calibri" w:hAnsi="Calibri"/>
          <w:sz w:val="22"/>
          <w:szCs w:val="22"/>
        </w:rPr>
        <w:t xml:space="preserve">The Client may withhold tax as the law requires and shall give the Developer the certificate of withholding.</w:t>
      </w:r>
    </w:p>
    <w:p>
      <w:pPr>
        <w:pStyle w:val="Heading2"/>
        <w:keepNext/>
        <w:spacing w:after="120" w:before="240"/>
      </w:pPr>
      <w:r>
        <w:rPr>
          <w:rFonts w:ascii="Calibri" w:cs="Calibri" w:eastAsia="Calibri" w:hAnsi="Calibri"/>
          <w:b/>
          <w:bCs/>
          <w:color w:val="102B3F"/>
          <w:sz w:val="26"/>
          <w:szCs w:val="26"/>
        </w:rPr>
        <w:t xml:space="preserve">3. Acceptance</w:t>
      </w:r>
    </w:p>
    <w:p>
      <w:pPr>
        <w:keepLines/>
        <w:spacing w:after="120" w:line="264"/>
        <w:jc w:val="both"/>
      </w:pPr>
      <w:r>
        <w:rPr>
          <w:rFonts w:ascii="Calibri" w:cs="Calibri" w:eastAsia="Calibri" w:hAnsi="Calibri"/>
          <w:sz w:val="22"/>
          <w:szCs w:val="22"/>
        </w:rPr>
        <w:t xml:space="preserve">The Client shall test each delivery against these acceptance criteria: The portal passes the agreed test cases, handles 200 concurrent users with page responses under three seconds, and has no open critical or high-severity defects at the acceptance test.</w:t>
      </w:r>
    </w:p>
    <w:p>
      <w:pPr>
        <w:keepLines/>
        <w:spacing w:after="120" w:line="264"/>
        <w:jc w:val="both"/>
      </w:pPr>
      <w:r>
        <w:rPr>
          <w:rFonts w:ascii="Calibri" w:cs="Calibri" w:eastAsia="Calibri" w:hAnsi="Calibri"/>
          <w:sz w:val="22"/>
          <w:szCs w:val="22"/>
        </w:rPr>
        <w:t xml:space="preserve">The Client shall accept the delivery or list the defects in writing within 10 days after delivery. The Developer shall fix the listed defects and redeliver, and the Client shall test again within the same period.</w:t>
      </w:r>
    </w:p>
    <w:p>
      <w:pPr>
        <w:keepLines/>
        <w:spacing w:after="120" w:line="264"/>
        <w:jc w:val="both"/>
      </w:pPr>
      <w:r>
        <w:rPr>
          <w:rFonts w:ascii="Calibri" w:cs="Calibri" w:eastAsia="Calibri" w:hAnsi="Calibri"/>
          <w:sz w:val="22"/>
          <w:szCs w:val="22"/>
        </w:rPr>
        <w:t xml:space="preserve">A delivery that the Client neither accepts nor rejects in writing within 10 days is treated as accepted.</w:t>
      </w:r>
    </w:p>
    <w:p>
      <w:pPr>
        <w:pStyle w:val="Heading2"/>
        <w:keepNext/>
        <w:spacing w:after="120" w:before="240"/>
      </w:pPr>
      <w:r>
        <w:rPr>
          <w:rFonts w:ascii="Calibri" w:cs="Calibri" w:eastAsia="Calibri" w:hAnsi="Calibri"/>
          <w:b/>
          <w:bCs/>
          <w:color w:val="102B3F"/>
          <w:sz w:val="26"/>
          <w:szCs w:val="26"/>
        </w:rPr>
        <w:t xml:space="preserve">4. Ownership and licenses</w:t>
      </w:r>
    </w:p>
    <w:p>
      <w:pPr>
        <w:keepLines/>
        <w:spacing w:after="120" w:line="264"/>
        <w:jc w:val="both"/>
      </w:pPr>
      <w:r>
        <w:rPr>
          <w:rFonts w:ascii="Calibri" w:cs="Calibri" w:eastAsia="Calibri" w:hAnsi="Calibri"/>
          <w:sz w:val="22"/>
          <w:szCs w:val="22"/>
        </w:rPr>
        <w:t xml:space="preserve">Copyright in a commissioned work stays with its creator unless the parties agree otherwise in writing (Intellectual Property Code, Section 178). The parties so agree: on the Client's full payment of the fees, the Developer assigns to the Client all copyright and other rights in the custom code and materials created for the Client under this Agreement (Section 180). Until that payment, the Developer keeps the rights and grants the Client only a license to use the delivered work.</w:t>
      </w:r>
    </w:p>
    <w:p>
      <w:pPr>
        <w:keepLines/>
        <w:spacing w:after="120" w:line="264"/>
        <w:jc w:val="both"/>
      </w:pPr>
      <w:r>
        <w:rPr>
          <w:rFonts w:ascii="Calibri" w:cs="Calibri" w:eastAsia="Calibri" w:hAnsi="Calibri"/>
          <w:sz w:val="22"/>
          <w:szCs w:val="22"/>
        </w:rPr>
        <w:t xml:space="preserve">The Developer keeps ownership of its existing tools, libraries, and know-how, described as: The Developer's internal component library, build tools, and templates that it uses across projects. The Developer grants the Client a perpetual, worldwide, non-exclusive, royalty-free license to use those items as part of the Software.</w:t>
      </w:r>
    </w:p>
    <w:p>
      <w:pPr>
        <w:pStyle w:val="Heading2"/>
        <w:keepNext/>
        <w:spacing w:after="120" w:before="240"/>
      </w:pPr>
      <w:r>
        <w:rPr>
          <w:rFonts w:ascii="Calibri" w:cs="Calibri" w:eastAsia="Calibri" w:hAnsi="Calibri"/>
          <w:b/>
          <w:bCs/>
          <w:color w:val="102B3F"/>
          <w:sz w:val="26"/>
          <w:szCs w:val="26"/>
        </w:rPr>
        <w:t xml:space="preserve">5. Chain of title, personnel, and open source</w:t>
      </w:r>
    </w:p>
    <w:p>
      <w:pPr>
        <w:keepLines/>
        <w:spacing w:after="120" w:line="264"/>
        <w:jc w:val="both"/>
      </w:pPr>
      <w:r>
        <w:rPr>
          <w:rFonts w:ascii="Calibri" w:cs="Calibri" w:eastAsia="Calibri" w:hAnsi="Calibri"/>
          <w:sz w:val="22"/>
          <w:szCs w:val="22"/>
        </w:rPr>
        <w:t xml:space="preserve">The Developer states that its employees, contractors, and subcontractors who work on the Software have assigned to it in writing all the rights it needs to give the Client what this Agreement provides, and that it is free to enter this Agreement.</w:t>
      </w:r>
    </w:p>
    <w:p>
      <w:pPr>
        <w:keepLines/>
        <w:spacing w:after="120" w:line="264"/>
        <w:jc w:val="both"/>
      </w:pPr>
      <w:r>
        <w:rPr>
          <w:rFonts w:ascii="Calibri" w:cs="Calibri" w:eastAsia="Calibri" w:hAnsi="Calibri"/>
          <w:sz w:val="22"/>
          <w:szCs w:val="22"/>
        </w:rPr>
        <w:t xml:space="preserve">The Developer warrants that the Software and the other deliverables, excluding materials the Client supplied, do not infringe any third person's intellectual property rights. The Developer shall defend the Client, at the Developer's cost, against any claim that they do, and shall indemnify the Client for the loss the claim causes.</w:t>
      </w:r>
    </w:p>
    <w:p>
      <w:pPr>
        <w:keepLines/>
        <w:spacing w:after="120" w:line="264"/>
        <w:jc w:val="both"/>
      </w:pPr>
      <w:r>
        <w:rPr>
          <w:rFonts w:ascii="Calibri" w:cs="Calibri" w:eastAsia="Calibri" w:hAnsi="Calibri"/>
          <w:sz w:val="22"/>
          <w:szCs w:val="22"/>
        </w:rPr>
        <w:t xml:space="preserve">The Developer may include only open-source components under permissive licenses, and shall list each one, with its license, before delivery. It shall not include components under licenses that would require the Client's own code to be published.</w:t>
      </w:r>
    </w:p>
    <w:p>
      <w:pPr>
        <w:keepLines/>
        <w:spacing w:after="120" w:line="264"/>
        <w:jc w:val="both"/>
      </w:pPr>
      <w:r>
        <w:rPr>
          <w:rFonts w:ascii="Calibri" w:cs="Calibri" w:eastAsia="Calibri" w:hAnsi="Calibri"/>
          <w:sz w:val="22"/>
          <w:szCs w:val="22"/>
        </w:rPr>
        <w:t xml:space="preserve">The Developer shall ensure that its personnel consent to the modification of the Software and to its use without attribution, to the extent the law allows. Moral rights that the law does not allow to be waived stay with their holders.</w:t>
      </w:r>
    </w:p>
    <w:p>
      <w:pPr>
        <w:pStyle w:val="Heading2"/>
        <w:keepNext/>
        <w:spacing w:after="120" w:before="240"/>
      </w:pPr>
      <w:r>
        <w:rPr>
          <w:rFonts w:ascii="Calibri" w:cs="Calibri" w:eastAsia="Calibri" w:hAnsi="Calibri"/>
          <w:b/>
          <w:bCs/>
          <w:color w:val="102B3F"/>
          <w:sz w:val="26"/>
          <w:szCs w:val="26"/>
        </w:rPr>
        <w:t xml:space="preserve">6. Source code</w:t>
      </w:r>
    </w:p>
    <w:p>
      <w:pPr>
        <w:keepLines/>
        <w:spacing w:after="120" w:line="264"/>
        <w:jc w:val="both"/>
      </w:pPr>
      <w:r>
        <w:rPr>
          <w:rFonts w:ascii="Calibri" w:cs="Calibri" w:eastAsia="Calibri" w:hAnsi="Calibri"/>
          <w:sz w:val="22"/>
          <w:szCs w:val="22"/>
        </w:rPr>
        <w:t xml:space="preserve">The Developer shall deliver the complete source code, with the build and deployment instructions, to the Client on acceptance.</w:t>
      </w:r>
    </w:p>
    <w:p>
      <w:pPr>
        <w:pStyle w:val="Heading2"/>
        <w:keepNext/>
        <w:spacing w:after="120" w:before="240"/>
      </w:pPr>
      <w:r>
        <w:rPr>
          <w:rFonts w:ascii="Calibri" w:cs="Calibri" w:eastAsia="Calibri" w:hAnsi="Calibri"/>
          <w:b/>
          <w:bCs/>
          <w:color w:val="102B3F"/>
          <w:sz w:val="26"/>
          <w:szCs w:val="26"/>
        </w:rPr>
        <w:t xml:space="preserve">7. Warranty and support</w:t>
      </w:r>
    </w:p>
    <w:p>
      <w:pPr>
        <w:keepLines/>
        <w:spacing w:after="120" w:line="264"/>
        <w:jc w:val="both"/>
      </w:pPr>
      <w:r>
        <w:rPr>
          <w:rFonts w:ascii="Calibri" w:cs="Calibri" w:eastAsia="Calibri" w:hAnsi="Calibri"/>
          <w:sz w:val="22"/>
          <w:szCs w:val="22"/>
        </w:rPr>
        <w:t xml:space="preserve">For 90 days after acceptance, the Developer shall fix, free of charge, any defect in the Software that makes it fail the acceptance criteria. The warranty does not cover defects caused by the Client's changes, misuse, or third-party systems.</w:t>
      </w:r>
    </w:p>
    <w:p>
      <w:pPr>
        <w:keepLines/>
        <w:spacing w:after="120" w:line="264"/>
        <w:jc w:val="both"/>
      </w:pPr>
      <w:r>
        <w:rPr>
          <w:rFonts w:ascii="Calibri" w:cs="Calibri" w:eastAsia="Calibri" w:hAnsi="Calibri"/>
          <w:sz w:val="22"/>
          <w:szCs w:val="22"/>
        </w:rPr>
        <w:t xml:space="preserve">The Developer shall provide support for 3 months after the warranty period, on the terms the parties agree in writing.</w:t>
      </w:r>
    </w:p>
    <w:p>
      <w:pPr>
        <w:pStyle w:val="Heading2"/>
        <w:keepNext/>
        <w:spacing w:after="120" w:before="240"/>
      </w:pPr>
      <w:r>
        <w:rPr>
          <w:rFonts w:ascii="Calibri" w:cs="Calibri" w:eastAsia="Calibri" w:hAnsi="Calibri"/>
          <w:b/>
          <w:bCs/>
          <w:color w:val="102B3F"/>
          <w:sz w:val="26"/>
          <w:szCs w:val="26"/>
        </w:rPr>
        <w:t xml:space="preserve">8. Personal data and confidentiality</w:t>
      </w:r>
    </w:p>
    <w:p>
      <w:pPr>
        <w:keepLines/>
        <w:spacing w:after="120" w:line="264"/>
        <w:jc w:val="both"/>
      </w:pPr>
      <w:r>
        <w:rPr>
          <w:rFonts w:ascii="Calibri" w:cs="Calibri" w:eastAsia="Calibri" w:hAnsi="Calibri"/>
          <w:sz w:val="22"/>
          <w:szCs w:val="22"/>
        </w:rPr>
        <w:t xml:space="preserve">The Developer shall not handle personal data as part of this project. If it needs access to personal data, the parties shall first sign a data processing agreement.</w:t>
      </w:r>
    </w:p>
    <w:p>
      <w:pPr>
        <w:keepLines/>
        <w:spacing w:after="120" w:line="264"/>
        <w:jc w:val="both"/>
      </w:pPr>
      <w:r>
        <w:rPr>
          <w:rFonts w:ascii="Calibri" w:cs="Calibri" w:eastAsia="Calibri" w:hAnsi="Calibri"/>
          <w:sz w:val="22"/>
          <w:szCs w:val="22"/>
        </w:rPr>
        <w:t xml:space="preserve">Each party shall keep the other's confidential information secret, use it only for this project, and return or delete it when the project ends. This does not apply to information that is public, that the party already knew, or that the law requires it to disclose.</w:t>
      </w:r>
    </w:p>
    <w:p>
      <w:pPr>
        <w:pStyle w:val="Heading2"/>
        <w:keepNext/>
        <w:spacing w:after="120" w:before="240"/>
      </w:pPr>
      <w:r>
        <w:rPr>
          <w:rFonts w:ascii="Calibri" w:cs="Calibri" w:eastAsia="Calibri" w:hAnsi="Calibri"/>
          <w:b/>
          <w:bCs/>
          <w:color w:val="102B3F"/>
          <w:sz w:val="26"/>
          <w:szCs w:val="26"/>
        </w:rPr>
        <w:t xml:space="preserve">9. Liability</w:t>
      </w:r>
    </w:p>
    <w:p>
      <w:pPr>
        <w:keepLines/>
        <w:spacing w:after="120" w:line="264"/>
        <w:jc w:val="both"/>
      </w:pPr>
      <w:r>
        <w:rPr>
          <w:rFonts w:ascii="Calibri" w:cs="Calibri" w:eastAsia="Calibri" w:hAnsi="Calibri"/>
          <w:sz w:val="22"/>
          <w:szCs w:val="22"/>
        </w:rPr>
        <w:t xml:space="preserve">The Developer's total liability under this Agreement is capped at the fees the Client has paid. Nothing in this Agreement limits liability for fraud, willful misconduct, gross negligence, breach of confidentiality, or infringement of intellectual property that the Developer causes, or any liability that the law does not allow to be limited (Articles 1170 and 1171).</w:t>
      </w:r>
    </w:p>
    <w:p>
      <w:pPr>
        <w:pStyle w:val="Heading2"/>
        <w:keepNext/>
        <w:spacing w:after="120" w:before="240"/>
      </w:pPr>
      <w:r>
        <w:rPr>
          <w:rFonts w:ascii="Calibri" w:cs="Calibri" w:eastAsia="Calibri" w:hAnsi="Calibri"/>
          <w:b/>
          <w:bCs/>
          <w:color w:val="102B3F"/>
          <w:sz w:val="26"/>
          <w:szCs w:val="26"/>
        </w:rPr>
        <w:t xml:space="preserve">10. Ending the Agreement</w:t>
      </w:r>
    </w:p>
    <w:p>
      <w:pPr>
        <w:keepLines/>
        <w:spacing w:after="120" w:line="264"/>
        <w:jc w:val="both"/>
      </w:pPr>
      <w:r>
        <w:rPr>
          <w:rFonts w:ascii="Calibri" w:cs="Calibri" w:eastAsia="Calibri" w:hAnsi="Calibri"/>
          <w:sz w:val="22"/>
          <w:szCs w:val="22"/>
        </w:rPr>
        <w:t xml:space="preserve">Either party may end this Agreement if the other materially breaches it and does not fix the breach within 30 days after written notice.</w:t>
      </w:r>
    </w:p>
    <w:p>
      <w:pPr>
        <w:keepLines/>
        <w:spacing w:after="120" w:line="264"/>
        <w:jc w:val="both"/>
      </w:pPr>
      <w:r>
        <w:rPr>
          <w:rFonts w:ascii="Calibri" w:cs="Calibri" w:eastAsia="Calibri" w:hAnsi="Calibri"/>
          <w:sz w:val="22"/>
          <w:szCs w:val="22"/>
        </w:rPr>
        <w:t xml:space="preserve">The Client may end this Agreement early for convenience on 30 days' written notice. The Client shall pay for all work completed and accepted up to the end date, and for work in progress in proportion to its completion.</w:t>
      </w:r>
    </w:p>
    <w:p>
      <w:pPr>
        <w:keepLines/>
        <w:spacing w:after="120" w:line="264"/>
        <w:jc w:val="both"/>
      </w:pPr>
      <w:r>
        <w:rPr>
          <w:rFonts w:ascii="Calibri" w:cs="Calibri" w:eastAsia="Calibri" w:hAnsi="Calibri"/>
          <w:sz w:val="22"/>
          <w:szCs w:val="22"/>
        </w:rPr>
        <w:t xml:space="preserve">On ending, the Developer shall deliver the work done so far, subject to payment for it, and the sections on ownership, confidentiality, and liability continue.</w:t>
      </w:r>
    </w:p>
    <w:p>
      <w:pPr>
        <w:pStyle w:val="Heading2"/>
        <w:keepNext/>
        <w:spacing w:after="120" w:before="240"/>
      </w:pPr>
      <w:r>
        <w:rPr>
          <w:rFonts w:ascii="Calibri" w:cs="Calibri" w:eastAsia="Calibri" w:hAnsi="Calibri"/>
          <w:b/>
          <w:bCs/>
          <w:color w:val="102B3F"/>
          <w:sz w:val="26"/>
          <w:szCs w:val="26"/>
        </w:rPr>
        <w:t xml:space="preserve">11. General terms</w:t>
      </w:r>
    </w:p>
    <w:p>
      <w:pPr>
        <w:keepLines/>
        <w:spacing w:after="120" w:line="264"/>
        <w:jc w:val="both"/>
      </w:pPr>
      <w:r>
        <w:rPr>
          <w:rFonts w:ascii="Calibri" w:cs="Calibri" w:eastAsia="Calibri" w:hAnsi="Calibri"/>
          <w:sz w:val="22"/>
          <w:szCs w:val="22"/>
        </w:rPr>
        <w:t xml:space="preserve">Philippine law governs this Agreement. The parties shall first try in good faith to settle any dispute by mediation, without preventing urgent relief. Any suit shall be filed exclusively in the proper courts of Cebu City, to the exclusion of all other courts.</w:t>
      </w:r>
    </w:p>
    <w:p>
      <w:pPr>
        <w:keepLines/>
        <w:spacing w:after="120" w:line="264"/>
        <w:jc w:val="both"/>
      </w:pPr>
      <w:r>
        <w:rPr>
          <w:rFonts w:ascii="Calibri" w:cs="Calibri" w:eastAsia="Calibri" w:hAnsi="Calibri"/>
          <w:sz w:val="22"/>
          <w:szCs w:val="22"/>
        </w:rPr>
        <w:t xml:space="preserve">Notices under this Agreement must be in writing and delivered by hand or courier to the addresses above, or by email to an address a party designates in writing. A notice is received on delivery, or for email when it is sent unless the sender is told that it was not delivered.</w:t>
      </w:r>
    </w:p>
    <w:p>
      <w:pPr>
        <w:keepLines/>
        <w:spacing w:after="120" w:line="264"/>
        <w:jc w:val="both"/>
      </w:pPr>
      <w:r>
        <w:rPr>
          <w:rFonts w:ascii="Calibri" w:cs="Calibri" w:eastAsia="Calibri" w:hAnsi="Calibri"/>
          <w:sz w:val="22"/>
          <w:szCs w:val="22"/>
        </w:rPr>
        <w:t xml:space="preserve">This Agreement is the whole agreement on the project. If any provision is held invalid, the rest remains in force. Electronic signatures that reliably identify the signer and show the signer's approval, as the Electronic Commerce Act provides, are binding, and electronic copies signed that way are valid.</w:t>
      </w:r>
    </w:p>
    <w:p>
      <w:pPr>
        <w:keepNext/>
        <w:spacing w:after="260" w:before="360"/>
      </w:pPr>
      <w:r>
        <w:rPr>
          <w:rFonts w:ascii="Calibri" w:cs="Calibri" w:eastAsia="Calibri" w:hAnsi="Calibri"/>
          <w:b/>
          <w:bCs/>
          <w:sz w:val="22"/>
          <w:szCs w:val="22"/>
        </w:rPr>
        <w:t xml:space="preserve">IN WITNESS WHEREOF, the parties have signed this Agreement on October 10, 2026 at Cebu City,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CLIENT</w:t>
            </w:r>
          </w:p>
          <w:p>
            <w:pPr>
              <w:spacing w:after="120"/>
            </w:pPr>
            <w:r>
              <w:rPr>
                <w:rFonts w:ascii="Calibri" w:cs="Calibri" w:eastAsia="Calibri" w:hAnsi="Calibri"/>
                <w:sz w:val="22"/>
                <w:szCs w:val="22"/>
              </w:rPr>
              <w:t xml:space="preserve">Sampaguita Trading Corporation
By: Ramon L. Uy, President
Signature over printed name: ______________________________</w:t>
            </w:r>
          </w:p>
          <w:p>
            <w:pPr>
              <w:spacing w:after="120"/>
            </w:pPr>
            <w:r>
              <w:rPr>
                <w:rFonts w:ascii="Calibri" w:cs="Calibri" w:eastAsia="Calibri" w:hAnsi="Calibri"/>
                <w:sz w:val="22"/>
                <w:szCs w:val="22"/>
              </w:rPr>
              <w:t xml:space="preserve">Client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DEVELOPER</w:t>
            </w:r>
          </w:p>
          <w:p>
            <w:pPr>
              <w:spacing w:after="120"/>
            </w:pPr>
            <w:r>
              <w:rPr>
                <w:rFonts w:ascii="Calibri" w:cs="Calibri" w:eastAsia="Calibri" w:hAnsi="Calibri"/>
                <w:sz w:val="22"/>
                <w:szCs w:val="22"/>
              </w:rPr>
              <w:t xml:space="preserve">Kalikasan Software Studio, Inc.
By: Andrea M. Reyes, Chief Executive Officer
Signature over printed name: ______________________________</w:t>
            </w:r>
          </w:p>
          <w:p>
            <w:pPr>
              <w:spacing w:after="120"/>
            </w:pPr>
            <w:r>
              <w:rPr>
                <w:rFonts w:ascii="Calibri" w:cs="Calibri" w:eastAsia="Calibri" w:hAnsi="Calibri"/>
                <w:sz w:val="22"/>
                <w:szCs w:val="22"/>
              </w:rPr>
              <w:t xml:space="preserve">Developer</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Write acceptance criteria that can be tested objectively. Vague words such as 'user-friendly' or 'fast' invite disputes, so use numbers, test cases, and named features.</w:t>
      </w:r>
    </w:p>
    <w:p>
      <w:pPr>
        <w:pStyle w:val="ListParagraph"/>
        <w:keepNext/>
        <w:numPr>
          <w:ilvl w:val="0"/>
          <w:numId w:val="1"/>
        </w:numPr>
        <w:spacing w:after="120" w:line="264"/>
      </w:pPr>
      <w:r>
        <w:rPr>
          <w:rFonts w:ascii="Calibri" w:cs="Calibri" w:eastAsia="Calibri" w:hAnsi="Calibri"/>
          <w:sz w:val="22"/>
          <w:szCs w:val="22"/>
        </w:rPr>
        <w:t xml:space="preserve">Copyright in a commissioned work stays with the creator unless the parties agree in writing (Intellectual Property Code, Section 178), and an assignment must be in writing (Section 180). Do not assume payment alone transfers ownership. The ownership clause must say so.</w:t>
      </w:r>
    </w:p>
    <w:p>
      <w:pPr>
        <w:pStyle w:val="ListParagraph"/>
        <w:keepNext/>
        <w:numPr>
          <w:ilvl w:val="0"/>
          <w:numId w:val="1"/>
        </w:numPr>
        <w:spacing w:after="120" w:line="264"/>
      </w:pPr>
      <w:r>
        <w:rPr>
          <w:rFonts w:ascii="Calibri" w:cs="Calibri" w:eastAsia="Calibri" w:hAnsi="Calibri"/>
          <w:sz w:val="22"/>
          <w:szCs w:val="22"/>
        </w:rPr>
        <w:t xml:space="preserve">If the source code and build documentation you receive could be seen as a transfer of systematic knowledge, the IPOPHL may treat the deal as a technology transfer arrangement with mandatory terms (Intellectual Property Code, Sections 87 and 88). This point is unsettled, so ask a technology lawyer if the project is large or the code embodies valuable know-how.</w:t>
      </w:r>
    </w:p>
    <w:p>
      <w:pPr>
        <w:pStyle w:val="ListParagraph"/>
        <w:keepNext/>
        <w:numPr>
          <w:ilvl w:val="0"/>
          <w:numId w:val="1"/>
        </w:numPr>
        <w:spacing w:after="120" w:line="264"/>
      </w:pPr>
      <w:r>
        <w:rPr>
          <w:rFonts w:ascii="Calibri" w:cs="Calibri" w:eastAsia="Calibri" w:hAnsi="Calibri"/>
          <w:sz w:val="22"/>
          <w:szCs w:val="22"/>
        </w:rPr>
        <w:t xml:space="preserve">Ask the Developer for proof of chain of title. Employees and freelancers who write code must have assigned their rights in writing, or the Developer cannot pass them on. Freelancers should sign their own assignments.</w:t>
      </w:r>
    </w:p>
    <w:p>
      <w:pPr>
        <w:pStyle w:val="ListParagraph"/>
        <w:keepNext/>
        <w:numPr>
          <w:ilvl w:val="0"/>
          <w:numId w:val="1"/>
        </w:numPr>
        <w:spacing w:after="120" w:line="264"/>
      </w:pPr>
      <w:r>
        <w:rPr>
          <w:rFonts w:ascii="Calibri" w:cs="Calibri" w:eastAsia="Calibri" w:hAnsi="Calibri"/>
          <w:sz w:val="22"/>
          <w:szCs w:val="22"/>
        </w:rPr>
        <w:t xml:space="preserve">Ask for a list of open-source components and their licenses before delivery. Some licenses can require you to publish your own code, so check them against how you plan to use the Software.</w:t>
      </w:r>
    </w:p>
    <w:p>
      <w:pPr>
        <w:pStyle w:val="ListParagraph"/>
        <w:keepNext/>
        <w:numPr>
          <w:ilvl w:val="0"/>
          <w:numId w:val="1"/>
        </w:numPr>
        <w:spacing w:after="120" w:line="264"/>
      </w:pPr>
      <w:r>
        <w:rPr>
          <w:rFonts w:ascii="Calibri" w:cs="Calibri" w:eastAsia="Calibri" w:hAnsi="Calibri"/>
          <w:sz w:val="22"/>
          <w:szCs w:val="22"/>
        </w:rPr>
        <w:t xml:space="preserve">Get the source code, build instructions, credentials, and documentation on acceptance if you own the Software. Without them, you may not be able to maintain it or change developers.</w:t>
      </w:r>
    </w:p>
    <w:p>
      <w:pPr>
        <w:pStyle w:val="ListParagraph"/>
        <w:keepNext/>
        <w:numPr>
          <w:ilvl w:val="0"/>
          <w:numId w:val="1"/>
        </w:numPr>
        <w:spacing w:after="120" w:line="264"/>
      </w:pPr>
      <w:r>
        <w:rPr>
          <w:rFonts w:ascii="Calibri" w:cs="Calibri" w:eastAsia="Calibri" w:hAnsi="Calibri"/>
          <w:sz w:val="22"/>
          <w:szCs w:val="22"/>
        </w:rPr>
        <w:t xml:space="preserve">Tie payments to milestones you can verify, and keep a holdback for the final acceptance where possible. Keep every signed change order.</w:t>
      </w:r>
    </w:p>
    <w:p>
      <w:pPr>
        <w:pStyle w:val="ListParagraph"/>
        <w:keepNext/>
        <w:numPr>
          <w:ilvl w:val="0"/>
          <w:numId w:val="1"/>
        </w:numPr>
        <w:spacing w:after="120" w:line="264"/>
      </w:pPr>
      <w:r>
        <w:rPr>
          <w:rFonts w:ascii="Calibri" w:cs="Calibri" w:eastAsia="Calibri" w:hAnsi="Calibri"/>
          <w:sz w:val="22"/>
          <w:szCs w:val="22"/>
        </w:rPr>
        <w:t xml:space="preserve">If the Developer will touch personal data, sign a data processing agreement first, and confirm the Developer's security controls. The Client stays responsible as the controller.</w:t>
      </w:r>
    </w:p>
    <w:p>
      <w:pPr>
        <w:pStyle w:val="ListParagraph"/>
        <w:keepNext/>
        <w:numPr>
          <w:ilvl w:val="0"/>
          <w:numId w:val="1"/>
        </w:numPr>
        <w:spacing w:after="120" w:line="264"/>
      </w:pPr>
      <w:r>
        <w:rPr>
          <w:rFonts w:ascii="Calibri" w:cs="Calibri" w:eastAsia="Calibri" w:hAnsi="Calibri"/>
          <w:sz w:val="22"/>
          <w:szCs w:val="22"/>
        </w:rPr>
        <w:t xml:space="preserve">Check value-added tax and withholding tax on each payment with an accountant, and give and collect the right invoices and certificates.</w:t>
      </w:r>
    </w:p>
    <w:p>
      <w:pPr>
        <w:pStyle w:val="ListParagraph"/>
        <w:keepNext/>
        <w:numPr>
          <w:ilvl w:val="0"/>
          <w:numId w:val="1"/>
        </w:numPr>
        <w:spacing w:after="120" w:line="264"/>
      </w:pPr>
      <w:r>
        <w:rPr>
          <w:rFonts w:ascii="Calibri" w:cs="Calibri" w:eastAsia="Calibri" w:hAnsi="Calibri"/>
          <w:sz w:val="22"/>
          <w:szCs w:val="22"/>
        </w:rPr>
        <w:t xml:space="preserve">If the Developer is an individual, watch out for an employment relationship in practice. Control over hours and methods and economic dependence can make a freelancer an employee regardless of the contract label, so let the Developer decide how the work is done.</w:t>
      </w:r>
    </w:p>
    <w:p>
      <w:pPr>
        <w:pStyle w:val="ListParagraph"/>
        <w:keepNext/>
        <w:numPr>
          <w:ilvl w:val="0"/>
          <w:numId w:val="1"/>
        </w:numPr>
        <w:spacing w:after="120" w:line="264"/>
      </w:pPr>
      <w:r>
        <w:rPr>
          <w:rFonts w:ascii="Calibri" w:cs="Calibri" w:eastAsia="Calibri" w:hAnsi="Calibri"/>
          <w:sz w:val="22"/>
          <w:szCs w:val="22"/>
        </w:rPr>
        <w:t xml:space="preserve">Sign in a way that reliably shows who signed and that they approved the agreement, such as wet signatures or a trusted e-signature platform with an audit trail, and keep the signed copy.</w:t>
      </w:r>
    </w:p>
    <w:p>
      <w:pPr>
        <w:pStyle w:val="ListParagraph"/>
        <w:keepNext w:val="false"/>
        <w:numPr>
          <w:ilvl w:val="0"/>
          <w:numId w:val="1"/>
        </w:numPr>
        <w:spacing w:after="120" w:line="264"/>
      </w:pPr>
      <w:r>
        <w:rPr>
          <w:rFonts w:ascii="Calibri" w:cs="Calibri" w:eastAsia="Calibri" w:hAnsi="Calibri"/>
          <w:sz w:val="22"/>
          <w:szCs w:val="22"/>
        </w:rPr>
        <w:t xml:space="preserve">Use a Philippine technology lawyer for a large or regulated project, a foreign developer or client, or any dispute over ownership, acceptance, or payment.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technology-lawyer review pending | Last legal check 2026-10-01 | Next review due 2026-11-01</w:t>
      </w:r>
    </w:p>
    <w:p>
      <w:pPr>
        <w:keepNext/>
        <w:spacing w:after="60" w:before="100"/>
      </w:pPr>
      <w:r>
        <w:rPr>
          <w:rFonts w:ascii="Calibri" w:cs="Calibri" w:eastAsia="Calibri" w:hAnsi="Calibri"/>
          <w:b/>
          <w:bCs/>
          <w:sz w:val="18"/>
          <w:szCs w:val="18"/>
        </w:rPr>
        <w:t xml:space="preserve">Civil Code of the Philippines (Republic Act No. 386) - Arts. 1713–1731 (contract for a piece of work, including the contractor's warranty); Art. 1306 (freedom to contract within legal limits); Art. 1229 (equitable reduction of an iniquitous penalty); Arts. 1170–1171 (negligence and fraud liability) (checked 2026-10-01)</w:t>
      </w:r>
    </w:p>
    <w:p>
      <w:pPr>
        <w:spacing w:after="120"/>
      </w:pPr>
      <w:hyperlink w:history="1" r:id="rIdvluoky5oubrccjicdo1ov">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Intellectual Property Code of the Philippines (Republic Act No. 8293), as amended - Sec. 4.2 (licensing of computer software not developed for the mass market is a technology transfer arrangement); Sec. 87 (prohibited clauses, including restrictions on using supplied technology after expiry except on early termination for the licensee's fault, bars on adapting the technology, and exemptions of the licensor's liability for third-party suits); Sec. 88 (mandatory terms: Philippine law, venue at the licensee's principal office, continued access to improvements, arbitration under the Arbitration Law of the Philippines or the UNCITRAL or ICC rules seated in the Philippines or a neutral country, and Philippine taxes borne by the licensor); Sec. 92 (non-conforming arrangements are unenforceable unless approved and registered); Sec. 172 (computer programs as literary works); Sec. 178 (ownership: employee works and commissioned works); Sec. 180 (assignment of copyright must be in writing); Secs. 193–198 (moral rights) (checked 2026-10-01)</w:t>
      </w:r>
    </w:p>
    <w:p>
      <w:pPr>
        <w:spacing w:after="120"/>
      </w:pPr>
      <w:hyperlink w:history="1" r:id="rIddvy_nytyxsfykexheqsar">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IPOPHL Memorandum Circular No. 2020-002, Revised Rules and Regulations on Voluntary Licensing (copy of the signed circular) - Rule 1(c) (software developed for the mass market means software that needs no customization, is sold over the counter, and is licensed for an indefinite term without royalties) and Rule 1(n) (systematic-knowledge test); Rules 2–4 (prohibited clauses, mandatory provisions, conformity); Rule 5 (exemptions and preliminary review of draft agreements). The IPOPHL website blocks automated access, so this record cites a law firm's copy of the signed circular (checked 2026-10-01)</w:t>
      </w:r>
    </w:p>
    <w:p>
      <w:pPr>
        <w:spacing w:after="120"/>
      </w:pPr>
      <w:hyperlink w:history="1" r:id="rIdopmqxwqzvscckaowawrnm">
        <w:r>
          <w:rPr>
            <w:rFonts w:ascii="Calibri" w:cs="Calibri" w:eastAsia="Calibri" w:hAnsi="Calibri"/>
            <w:color w:val="315B75"/>
            <w:sz w:val="17"/>
            <w:szCs w:val="17"/>
            <w:u w:val="single"/>
          </w:rPr>
          <w:t xml:space="preserve">https://deleoniplaw.com/wp-content/uploads/Laws/tech-transfer/Revised-Rules-Regulations-on-Voluntary-Licensing.pdf</w:t>
        </w:r>
      </w:hyperlink>
    </w:p>
    <w:p>
      <w:pPr>
        <w:keepNext/>
        <w:spacing w:after="60" w:before="100"/>
      </w:pPr>
      <w:r>
        <w:rPr>
          <w:rFonts w:ascii="Calibri" w:cs="Calibri" w:eastAsia="Calibri" w:hAnsi="Calibri"/>
          <w:b/>
          <w:bCs/>
          <w:sz w:val="18"/>
          <w:szCs w:val="18"/>
        </w:rPr>
        <w:t xml:space="preserve">Electronic Commerce Act of 2000 (Republic Act No. 8792) - Sec. 8: an electronic signature is equivalent to a handwritten signature if a reliable procedure identifies the signer and shows the signer's approval; electronic documents and data messages used to sign and deliver the work (checked 2026-10-01)</w:t>
      </w:r>
    </w:p>
    <w:p>
      <w:pPr>
        <w:spacing w:after="120"/>
      </w:pPr>
      <w:hyperlink w:history="1" r:id="rIdktii8indolzu5aygctofe">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Data Privacy Act of 2012 (Republic Act No. 10173) - Secs. 20–21: security and accountability where the developer processes personal data for the client; controller and processor roles (checked 2026-10-01)</w:t>
      </w:r>
    </w:p>
    <w:p>
      <w:pPr>
        <w:spacing w:after="120"/>
      </w:pPr>
      <w:hyperlink w:history="1" r:id="rIdgyctgpyifab09txhnfo_t">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National Internal Revenue Code of 1997 (Republic Act No. 8424), as amended - Value-added tax on services and creditable withholding tax on payments for professional and contractor services (checked 2026-10-01)</w:t>
      </w:r>
    </w:p>
    <w:p>
      <w:pPr>
        <w:spacing w:after="120"/>
      </w:pPr>
      <w:hyperlink w:history="1" r:id="rId_xpt-9le9f8l7o4wek1mm">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Alternative Dispute Resolution Act of 2004 (Republic Act No. 9285) - Mediation and arbitration as agreed dispute routes; Sec. 32 (domestic arbitration continues to be governed by Republic Act No. 876, the Arbitration Law) (checked 2026-10-01)</w:t>
      </w:r>
    </w:p>
    <w:p>
      <w:pPr>
        <w:spacing w:after="120"/>
      </w:pPr>
      <w:hyperlink w:history="1" r:id="rId6abeqavze4wirmlma8ri2">
        <w:r>
          <w:rPr>
            <w:rFonts w:ascii="Calibri" w:cs="Calibri" w:eastAsia="Calibri" w:hAnsi="Calibri"/>
            <w:color w:val="315B75"/>
            <w:sz w:val="17"/>
            <w:szCs w:val="17"/>
            <w:u w:val="single"/>
          </w:rPr>
          <w:t xml:space="preserve">https://lawphil.net/statutes/repacts/ra2004/ra_9285_2004.html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uoky5oubrccjicdo1ov" Type="http://schemas.openxmlformats.org/officeDocument/2006/relationships/hyperlink" Target="https://lawphil.net/statutes/repacts/ra1949/ra_386_1949.html" TargetMode="External"/><Relationship Id="rIddvy_nytyxsfykexheqsar" Type="http://schemas.openxmlformats.org/officeDocument/2006/relationships/hyperlink" Target="https://lawphil.net/statutes/repacts/ra1997/ra_8293_1997.html" TargetMode="External"/><Relationship Id="rIdopmqxwqzvscckaowawrnm" Type="http://schemas.openxmlformats.org/officeDocument/2006/relationships/hyperlink" Target="https://deleoniplaw.com/wp-content/uploads/Laws/tech-transfer/Revised-Rules-Regulations-on-Voluntary-Licensing.pdf" TargetMode="External"/><Relationship Id="rIdktii8indolzu5aygctofe" Type="http://schemas.openxmlformats.org/officeDocument/2006/relationships/hyperlink" Target="https://lawphil.net/statutes/repacts/ra2000/ra_8792_2000.html" TargetMode="External"/><Relationship Id="rIdgyctgpyifab09txhnfo_t" Type="http://schemas.openxmlformats.org/officeDocument/2006/relationships/hyperlink" Target="https://lawphil.net/statutes/repacts/ra2012/ra_10173_2012.html" TargetMode="External"/><Relationship Id="rId_xpt-9le9f8l7o4wek1mm" Type="http://schemas.openxmlformats.org/officeDocument/2006/relationships/hyperlink" Target="https://lawphil.net/statutes/repacts/ra1997/ra_8424_1997.html" TargetMode="External"/><Relationship Id="rId6abeqavze4wirmlma8ri2" Type="http://schemas.openxmlformats.org/officeDocument/2006/relationships/hyperlink" Target="https://lawphil.net/statutes/repacts/ra2004/ra_9285_2004.html"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DEVELOPMENT AGREEMENT</dc:title>
  <dc:creator>LAW.PH</dc:creator>
  <dc:description>Free sample of the Software Development Agreement from LAW.PH, with fictional details</dc:description>
  <cp:lastModifiedBy>Un-named</cp:lastModifiedBy>
  <cp:revision>1</cp:revision>
  <dcterms:created xsi:type="dcterms:W3CDTF">2026-10-02T05:29:57.014Z</dcterms:created>
  <dcterms:modified xsi:type="dcterms:W3CDTF">2026-10-02T05:29:57.014Z</dcterms:modified>
</cp:coreProperties>
</file>

<file path=docProps/custom.xml><?xml version="1.0" encoding="utf-8"?>
<Properties xmlns="http://schemas.openxmlformats.org/officeDocument/2006/custom-properties" xmlns:vt="http://schemas.openxmlformats.org/officeDocument/2006/docPropsVTypes"/>
</file>