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SPECIAL POWER OF ATTORNEY</w:t>
      </w:r>
    </w:p>
    <w:p>
      <w:pPr>
        <w:spacing w:after="160"/>
        <w:jc w:val="center"/>
      </w:pPr>
      <w:r>
        <w:rPr>
          <w:rFonts w:ascii="Calibri" w:cs="Calibri" w:eastAsia="Calibri" w:hAnsi="Calibri"/>
          <w:color w:val="566674"/>
          <w:sz w:val="18"/>
          <w:szCs w:val="18"/>
        </w:rPr>
        <w:t xml:space="preserve">Republic of the Philippines · Real-property strict-dominion route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Engineering draft · independent Philippine lawyer review pending</w:t>
      </w:r>
    </w:p>
    <w:p>
      <w:pPr>
        <w:keepLines/>
        <w:spacing w:after="120" w:line="264"/>
        <w:jc w:val="both"/>
      </w:pPr>
      <w:r>
        <w:rPr>
          <w:rFonts w:ascii="Calibri" w:cs="Calibri" w:eastAsia="Calibri" w:hAnsi="Calibri"/>
          <w:sz w:val="22"/>
          <w:szCs w:val="22"/>
        </w:rPr>
        <w:t xml:space="preserve">REPUBLIC OF THE PHILIPPINES )</w:t>
      </w:r>
    </w:p>
    <w:p>
      <w:pPr>
        <w:keepLines/>
        <w:spacing w:after="120" w:line="264"/>
        <w:jc w:val="both"/>
      </w:pPr>
      <w:r>
        <w:rPr>
          <w:rFonts w:ascii="Calibri" w:cs="Calibri" w:eastAsia="Calibri" w:hAnsi="Calibri"/>
          <w:sz w:val="22"/>
          <w:szCs w:val="22"/>
        </w:rPr>
        <w:t xml:space="preserve">MAKATI CITY ) S.S.</w:t>
      </w:r>
    </w:p>
    <w:p>
      <w:pPr>
        <w:pStyle w:val="Heading2"/>
        <w:keepNext/>
        <w:spacing w:after="120" w:before="240"/>
      </w:pPr>
      <w:r>
        <w:rPr>
          <w:rFonts w:ascii="Calibri" w:cs="Calibri" w:eastAsia="Calibri" w:hAnsi="Calibri"/>
          <w:b/>
          <w:bCs/>
          <w:color w:val="102B3F"/>
          <w:sz w:val="26"/>
          <w:szCs w:val="26"/>
        </w:rPr>
        <w:t xml:space="preserve">APPOINTMENT FOR A DEFINED MATTER</w:t>
      </w:r>
    </w:p>
    <w:p>
      <w:pPr>
        <w:keepLines/>
        <w:spacing w:after="120" w:line="264"/>
        <w:jc w:val="both"/>
      </w:pPr>
      <w:r>
        <w:rPr>
          <w:rFonts w:ascii="Calibri" w:cs="Calibri" w:eastAsia="Calibri" w:hAnsi="Calibri"/>
          <w:sz w:val="22"/>
          <w:szCs w:val="22"/>
        </w:rPr>
        <w:t xml:space="preserve">KNOW ALL PERSONS BY THESE PRESENTS: I, Maria Elena Santos, Filipino citizen, of legal age, single, and residing at 100 Ayala Avenue, Makati City 1226, hereby appoint Roberto Santos, Filipino citizen, of legal age, single, and residing at 18 Jupiter Street, Makati City 1209, as Attorney-in-Fact solely for the matter and powers stated below. The Attorney-in-Fact was selected because: Brother trusted to complete the identified sale while the principal is working outside Metro Manila.</w:t>
      </w:r>
    </w:p>
    <w:p>
      <w:pPr>
        <w:keepLines/>
        <w:spacing w:after="120" w:line="264"/>
        <w:jc w:val="both"/>
      </w:pPr>
      <w:r>
        <w:rPr>
          <w:rFonts w:ascii="Calibri" w:cs="Calibri" w:eastAsia="Calibri" w:hAnsi="Calibri"/>
          <w:sz w:val="22"/>
          <w:szCs w:val="22"/>
        </w:rPr>
        <w:t xml:space="preserve">The purpose is: Sell the specifically identified Makati condominium unit to a qualified buyer within the written minimum price and closing limits</w:t>
      </w:r>
    </w:p>
    <w:p>
      <w:pPr>
        <w:pStyle w:val="Heading2"/>
        <w:keepNext/>
        <w:spacing w:after="120" w:before="240"/>
      </w:pPr>
      <w:r>
        <w:rPr>
          <w:rFonts w:ascii="Calibri" w:cs="Calibri" w:eastAsia="Calibri" w:hAnsi="Calibri"/>
          <w:b/>
          <w:bCs/>
          <w:color w:val="102B3F"/>
          <w:sz w:val="26"/>
          <w:szCs w:val="26"/>
        </w:rPr>
        <w:t xml:space="preserve">SPECIAL AND EXPRESS AUTHORITY</w:t>
      </w:r>
    </w:p>
    <w:p>
      <w:pPr>
        <w:keepLines/>
        <w:spacing w:after="120" w:line="264"/>
        <w:jc w:val="both"/>
      </w:pPr>
      <w:r>
        <w:rPr>
          <w:rFonts w:ascii="Calibri" w:cs="Calibri" w:eastAsia="Calibri" w:hAnsi="Calibri"/>
          <w:sz w:val="22"/>
          <w:szCs w:val="22"/>
        </w:rPr>
        <w:t xml:space="preserve">1. Subject matter. The Attorney-in-Fact is expressly authorized to sell the specific property identified by CCT No. 123456 at Registry of Deeds for Makati City: Unit 12A, Example Condominium, Makati City, with an area of 68 square meters and the appurtenant interest described in CCT No. 123456; for not less than PHP 8,500,000.00.</w:t>
      </w:r>
    </w:p>
    <w:p>
      <w:pPr>
        <w:keepLines/>
        <w:spacing w:after="120" w:line="264"/>
        <w:jc w:val="both"/>
      </w:pPr>
      <w:r>
        <w:rPr>
          <w:rFonts w:ascii="Calibri" w:cs="Calibri" w:eastAsia="Calibri" w:hAnsi="Calibri"/>
          <w:sz w:val="22"/>
          <w:szCs w:val="22"/>
        </w:rPr>
        <w:t xml:space="preserve">2. The Attorney-in-Fact may negotiate only the terms of the defined matter and only within every limit written in this instrument.</w:t>
      </w:r>
    </w:p>
    <w:p>
      <w:pPr>
        <w:keepLines/>
        <w:spacing w:after="120" w:line="264"/>
        <w:jc w:val="both"/>
      </w:pPr>
      <w:r>
        <w:rPr>
          <w:rFonts w:ascii="Calibri" w:cs="Calibri" w:eastAsia="Calibri" w:hAnsi="Calibri"/>
          <w:sz w:val="22"/>
          <w:szCs w:val="22"/>
        </w:rPr>
        <w:t xml:space="preserve">3. The Attorney-in-Fact may sign and deliver only the documents expressly necessary to complete the defined matter.</w:t>
      </w:r>
    </w:p>
    <w:p>
      <w:pPr>
        <w:keepLines/>
        <w:spacing w:after="120" w:line="264"/>
        <w:jc w:val="both"/>
      </w:pPr>
      <w:r>
        <w:rPr>
          <w:rFonts w:ascii="Calibri" w:cs="Calibri" w:eastAsia="Calibri" w:hAnsi="Calibri"/>
          <w:sz w:val="22"/>
          <w:szCs w:val="22"/>
        </w:rPr>
        <w:t xml:space="preserve">4. The Attorney-in-Fact may submit genuine supporting records and receive official copies, notices, and receipts concerning the defined matter.</w:t>
      </w:r>
    </w:p>
    <w:p>
      <w:pPr>
        <w:keepLines/>
        <w:spacing w:after="120" w:line="264"/>
        <w:jc w:val="both"/>
      </w:pPr>
      <w:r>
        <w:rPr>
          <w:rFonts w:ascii="Calibri" w:cs="Calibri" w:eastAsia="Calibri" w:hAnsi="Calibri"/>
          <w:sz w:val="22"/>
          <w:szCs w:val="22"/>
        </w:rPr>
        <w:t xml:space="preserve">5. The Attorney-in-Fact may appear before the named recipient and the government or private offices directly necessary to the defined matter.</w:t>
      </w:r>
    </w:p>
    <w:p>
      <w:pPr>
        <w:keepLines/>
        <w:spacing w:after="120" w:line="264"/>
        <w:jc w:val="both"/>
      </w:pPr>
      <w:r>
        <w:rPr>
          <w:rFonts w:ascii="Calibri" w:cs="Calibri" w:eastAsia="Calibri" w:hAnsi="Calibri"/>
          <w:sz w:val="22"/>
          <w:szCs w:val="22"/>
        </w:rPr>
        <w:t xml:space="preserve">6. The Attorney-in-Fact may pay documented official fees, taxes, and charges from funds provided for that purpose, within the expense limit below.</w:t>
      </w:r>
    </w:p>
    <w:p>
      <w:pPr>
        <w:keepLines/>
        <w:spacing w:after="120" w:line="264"/>
        <w:jc w:val="both"/>
      </w:pPr>
      <w:r>
        <w:rPr>
          <w:rFonts w:ascii="Calibri" w:cs="Calibri" w:eastAsia="Calibri" w:hAnsi="Calibri"/>
          <w:sz w:val="22"/>
          <w:szCs w:val="22"/>
        </w:rPr>
        <w:t xml:space="preserve">The purchase price shall be paid directly to the Principal, by manager's check payable to the Principal or by transfer to the Principal's own bank account. The Attorney-in-Fact may not receive the price or acknowledge its receipt in the deed of sale or any other document.</w:t>
      </w:r>
    </w:p>
    <w:p>
      <w:pPr>
        <w:keepLines/>
        <w:spacing w:after="120" w:line="264"/>
        <w:jc w:val="both"/>
      </w:pPr>
      <w:r>
        <w:rPr>
          <w:rFonts w:ascii="Calibri" w:cs="Calibri" w:eastAsia="Calibri" w:hAnsi="Calibri"/>
          <w:sz w:val="22"/>
          <w:szCs w:val="22"/>
        </w:rPr>
        <w:t xml:space="preserve">The Attorney-in-Fact has no authority to receive, encash, redirect, or acknowledge money or property for the Principal.</w:t>
      </w:r>
    </w:p>
    <w:p>
      <w:pPr>
        <w:keepLines/>
        <w:spacing w:after="120" w:line="264"/>
        <w:jc w:val="both"/>
      </w:pPr>
      <w:r>
        <w:rPr>
          <w:rFonts w:ascii="Calibri" w:cs="Calibri" w:eastAsia="Calibri" w:hAnsi="Calibri"/>
          <w:sz w:val="22"/>
          <w:szCs w:val="22"/>
        </w:rPr>
        <w:t xml:space="preserve">The Attorney-in-Fact may not act as buyer, seller, lender, borrower, transferee, beneficiary, or other counterparty, and may not prefer personal interests over the Principal's interests.</w:t>
      </w:r>
    </w:p>
    <w:p>
      <w:pPr>
        <w:pStyle w:val="Heading2"/>
        <w:keepNext/>
        <w:spacing w:after="120" w:before="240"/>
      </w:pPr>
      <w:r>
        <w:rPr>
          <w:rFonts w:ascii="Calibri" w:cs="Calibri" w:eastAsia="Calibri" w:hAnsi="Calibri"/>
          <w:b/>
          <w:bCs/>
          <w:color w:val="102B3F"/>
          <w:sz w:val="26"/>
          <w:szCs w:val="26"/>
        </w:rPr>
        <w:t xml:space="preserve">LIMITATIONS AND DUTIES</w:t>
      </w:r>
    </w:p>
    <w:p>
      <w:pPr>
        <w:keepLines/>
        <w:spacing w:after="120" w:line="264"/>
        <w:jc w:val="both"/>
      </w:pPr>
      <w:r>
        <w:rPr>
          <w:rFonts w:ascii="Calibri" w:cs="Calibri" w:eastAsia="Calibri" w:hAnsi="Calibri"/>
          <w:sz w:val="22"/>
          <w:szCs w:val="22"/>
        </w:rPr>
        <w:t xml:space="preserve">This instrument grants only the express powers above. It does not authorize any unrelated act of administration or strict dominion; any gift or gratuitous waiver; any loan or borrowing not expressly described; any guaranty or suretyship; entry into a partnership; acceptance or repudiation of an inheritance; waiver of an appeal, venue, prescription, or claim; confession of judgment; or creation or conveyance of any real right not specifically identified above.</w:t>
      </w:r>
    </w:p>
    <w:p>
      <w:pPr>
        <w:keepLines/>
        <w:spacing w:after="120" w:line="264"/>
        <w:jc w:val="both"/>
      </w:pPr>
      <w:r>
        <w:rPr>
          <w:rFonts w:ascii="Calibri" w:cs="Calibri" w:eastAsia="Calibri" w:hAnsi="Calibri"/>
          <w:sz w:val="22"/>
          <w:szCs w:val="22"/>
        </w:rPr>
        <w:t xml:space="preserve">Substitution and delegation are prohibited.</w:t>
      </w:r>
    </w:p>
    <w:p>
      <w:pPr>
        <w:keepLines/>
        <w:spacing w:after="120" w:line="264"/>
        <w:jc w:val="both"/>
      </w:pPr>
      <w:r>
        <w:rPr>
          <w:rFonts w:ascii="Calibri" w:cs="Calibri" w:eastAsia="Calibri" w:hAnsi="Calibri"/>
          <w:sz w:val="22"/>
          <w:szCs w:val="22"/>
        </w:rPr>
        <w:t xml:space="preserve">Compensation: none. Reimbursement is limited to genuine, documented, necessary expenses not exceeding PHP 150,000.00 in aggregate.</w:t>
      </w:r>
    </w:p>
    <w:p>
      <w:pPr>
        <w:keepLines/>
        <w:spacing w:after="120" w:line="264"/>
        <w:jc w:val="both"/>
      </w:pPr>
      <w:r>
        <w:rPr>
          <w:rFonts w:ascii="Calibri" w:cs="Calibri" w:eastAsia="Calibri" w:hAnsi="Calibri"/>
          <w:sz w:val="22"/>
          <w:szCs w:val="22"/>
        </w:rPr>
        <w:t xml:space="preserve">The Attorney-in-Fact must act within this written authority, preserve original records and receipts, avoid conflicts, render a complete account, and promptly deliver everything received for the Principal. Specific instructions: Provide copies of every signed document, official receipt, and transaction record within five business days, and promptly deliver all money or property received.</w:t>
      </w:r>
    </w:p>
    <w:p>
      <w:pPr>
        <w:keepLines/>
        <w:spacing w:after="120" w:line="264"/>
        <w:jc w:val="both"/>
      </w:pPr>
      <w:r>
        <w:rPr>
          <w:rFonts w:ascii="Calibri" w:cs="Calibri" w:eastAsia="Calibri" w:hAnsi="Calibri"/>
          <w:sz w:val="22"/>
          <w:szCs w:val="22"/>
        </w:rPr>
        <w:t xml:space="preserve">Effectivity and termination: this authority begins only after valid execution and acknowledgment of this complete instrument and ends automatically upon complete performance of the defined matter, and in all cases is subject to earlier revocation and the other causes of extinguishment provided by law. The Principal will give any revocation notice to Registry of Deeds for Makati City and the identified buyer. Because this power deals with land, the Principal will also register any revocation with Registry of Deeds for Makati City, in the same way as this instrument (P.D. No. 1529, Sec. 64). Revocation does not excuse notice reasonably needed to protect third persons who were informed of the authority.</w:t>
      </w:r>
    </w:p>
    <w:p>
      <w:pPr>
        <w:pStyle w:val="Heading2"/>
        <w:keepNext/>
        <w:spacing w:after="120" w:before="240"/>
      </w:pPr>
      <w:r>
        <w:rPr>
          <w:rFonts w:ascii="Calibri" w:cs="Calibri" w:eastAsia="Calibri" w:hAnsi="Calibri"/>
          <w:b/>
          <w:bCs/>
          <w:color w:val="102B3F"/>
          <w:sz w:val="26"/>
          <w:szCs w:val="26"/>
        </w:rPr>
        <w:t xml:space="preserve">RATIFICATION WITHIN THE WRITTEN SCOPE</w:t>
      </w:r>
    </w:p>
    <w:p>
      <w:pPr>
        <w:keepLines/>
        <w:spacing w:after="120" w:line="264"/>
        <w:jc w:val="both"/>
      </w:pPr>
      <w:r>
        <w:rPr>
          <w:rFonts w:ascii="Calibri" w:cs="Calibri" w:eastAsia="Calibri" w:hAnsi="Calibri"/>
          <w:sz w:val="22"/>
          <w:szCs w:val="22"/>
        </w:rPr>
        <w:t xml:space="preserve">The Principal ratifies only lawful acts actually performed by the Attorney-in-Fact within the express terms, conditions, amounts, subject matter, duration, and recipient limits of this instrument. No conduct outside that scope is approved in advance, and any later ratification must be knowing and legally effective.</w:t>
      </w:r>
    </w:p>
    <w:p>
      <w:pPr>
        <w:keepNext/>
        <w:spacing w:after="260" w:before="360"/>
      </w:pPr>
      <w:r>
        <w:rPr>
          <w:rFonts w:ascii="Calibri" w:cs="Calibri" w:eastAsia="Calibri" w:hAnsi="Calibri"/>
          <w:b/>
          <w:bCs/>
          <w:sz w:val="22"/>
          <w:szCs w:val="22"/>
        </w:rPr>
        <w:t xml:space="preserve">IN WITNESS WHEREOF, the Principal(s) have signed this Special Power of Attorney this ____ day of __________ 20____ at __________________, Philippines, in the presence of the instrumental witnesses named below.</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Maria Elena Santos</w:t>
            </w:r>
          </w:p>
          <w:p>
            <w:pPr>
              <w:spacing w:after="120"/>
            </w:pPr>
            <w:r>
              <w:rPr>
                <w:rFonts w:ascii="Calibri" w:cs="Calibri" w:eastAsia="Calibri" w:hAnsi="Calibri"/>
                <w:sz w:val="22"/>
                <w:szCs w:val="22"/>
              </w:rPr>
              <w:t xml:space="preserve">Signature over printed name: ______________________________</w:t>
            </w:r>
          </w:p>
          <w:p>
            <w:pPr>
              <w:spacing w:after="120"/>
            </w:pPr>
            <w:r>
              <w:rPr>
                <w:rFonts w:ascii="Calibri" w:cs="Calibri" w:eastAsia="Calibri" w:hAnsi="Calibri"/>
                <w:sz w:val="22"/>
                <w:szCs w:val="22"/>
              </w:rPr>
              <w:t xml:space="preserve">Principal</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SIGNED IN THE PRESENCE OF:</w:t>
            </w:r>
          </w:p>
          <w:p>
            <w:pPr>
              <w:spacing w:after="120"/>
            </w:pPr>
            <w:r>
              <w:rPr>
                <w:rFonts w:ascii="Calibri" w:cs="Calibri" w:eastAsia="Calibri" w:hAnsi="Calibri"/>
                <w:sz w:val="22"/>
                <w:szCs w:val="22"/>
              </w:rPr>
              <w:t xml:space="preserve">Witness 1: ______________________________
Signature over printed name</w:t>
            </w:r>
          </w:p>
          <w:p>
            <w:pPr>
              <w:spacing w:after="120"/>
            </w:pPr>
            <w:r>
              <w:rPr>
                <w:rFonts w:ascii="Calibri" w:cs="Calibri" w:eastAsia="Calibri" w:hAnsi="Calibri"/>
                <w:sz w:val="22"/>
                <w:szCs w:val="22"/>
              </w:rPr>
              <w:t xml:space="preserve">Instrumental witness (P.D. No. 1529, Sec. 112)</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SIGNED IN THE PRESENCE OF:</w:t>
            </w:r>
          </w:p>
          <w:p>
            <w:pPr>
              <w:spacing w:after="120"/>
            </w:pPr>
            <w:r>
              <w:rPr>
                <w:rFonts w:ascii="Calibri" w:cs="Calibri" w:eastAsia="Calibri" w:hAnsi="Calibri"/>
                <w:sz w:val="22"/>
                <w:szCs w:val="22"/>
              </w:rPr>
              <w:t xml:space="preserve">Witness 2: ______________________________
Signature over printed name</w:t>
            </w:r>
          </w:p>
          <w:p>
            <w:pPr>
              <w:spacing w:after="120"/>
            </w:pPr>
            <w:r>
              <w:rPr>
                <w:rFonts w:ascii="Calibri" w:cs="Calibri" w:eastAsia="Calibri" w:hAnsi="Calibri"/>
                <w:sz w:val="22"/>
                <w:szCs w:val="22"/>
              </w:rPr>
              <w:t xml:space="preserve">Instrumental witness (P.D. No. 1529, Sec. 112)</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spacing w:after="120" w:before="240"/>
      </w:pPr>
      <w:r>
        <w:rPr>
          <w:rFonts w:ascii="Calibri" w:cs="Calibri" w:eastAsia="Calibri" w:hAnsi="Calibri"/>
          <w:b/>
          <w:bCs/>
          <w:color w:val="102B3F"/>
          <w:sz w:val="26"/>
          <w:szCs w:val="26"/>
        </w:rPr>
        <w:t xml:space="preserve">ACKNOWLEDGMENT — FOR THE AUTHORIZED OFFICER TO COMPLETE</w:t>
      </w:r>
    </w:p>
    <w:p>
      <w:pPr>
        <w:keepLines/>
        <w:spacing w:after="120" w:line="264"/>
        <w:jc w:val="both"/>
      </w:pPr>
      <w:r>
        <w:rPr>
          <w:rFonts w:ascii="Calibri" w:cs="Calibri" w:eastAsia="Calibri" w:hAnsi="Calibri"/>
          <w:sz w:val="22"/>
          <w:szCs w:val="22"/>
        </w:rPr>
        <w:t xml:space="preserve">BEFORE ME, a Notary Public for and in Makati City, Philippines, on __________________, personally appeared Maria Elena Santos, identified through Current government-issued photo ID / ID No(s). __________________ / issued at/on __________________ / valid until __________________, known to me and to me known to be the same person(s) who executed this Special Power of Attorney and acknowledged that it is their free and voluntary act and deed. This instrument, consisting of ____ (__) pages, including the page on which this acknowledgment is written, has been signed by the Principal(s) and their instrumental witnesses on the left margin of each and every page thereof, and is sealed with my notarial seal.
WITNESS MY HAND AND NOTARIAL SEAL on the date and at the place first above written.</w:t>
      </w:r>
    </w:p>
    <w:p>
      <w:pPr>
        <w:keepLines/>
        <w:spacing w:after="120" w:line="264"/>
        <w:jc w:val="both"/>
      </w:pPr>
      <w:r>
        <w:rPr>
          <w:rFonts w:ascii="Calibri" w:cs="Calibri" w:eastAsia="Calibri" w:hAnsi="Calibri"/>
          <w:sz w:val="22"/>
          <w:szCs w:val="22"/>
        </w:rPr>
        <w:t xml:space="preserve">NOTARY PUBLIC
Notary Public for __________________ until December 31, 20____
Commission No.: __________________
Roll of Attorneys No.: __________________
PTR No.: __________ / date: __________ / place: __________
IBP No.: __________ / date: __________
Office address: __________________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Give the attorney-in-fact and intended recipient a complete copy. Compare every name, capacity, asset/account/case identifier, amount, power, limit, date, and attachment against original records before anyone signs.</w:t>
      </w:r>
    </w:p>
    <w:p>
      <w:pPr>
        <w:pStyle w:val="ListParagraph"/>
        <w:keepNext/>
        <w:numPr>
          <w:ilvl w:val="0"/>
          <w:numId w:val="1"/>
        </w:numPr>
        <w:spacing w:after="120" w:line="264"/>
      </w:pPr>
      <w:r>
        <w:rPr>
          <w:rFonts w:ascii="Calibri" w:cs="Calibri" w:eastAsia="Calibri" w:hAnsi="Calibri"/>
          <w:sz w:val="22"/>
          <w:szCs w:val="22"/>
        </w:rPr>
        <w:t xml:space="preserve">Ask the named recipient to approve the exact authority language before execution when it uses a mandatory form or requires specimen signatures, photographs, IDs, witnesses, original copies, tax records, corporate approvals, translations, or separate declarations.</w:t>
      </w:r>
    </w:p>
    <w:p>
      <w:pPr>
        <w:pStyle w:val="ListParagraph"/>
        <w:keepNext/>
        <w:numPr>
          <w:ilvl w:val="0"/>
          <w:numId w:val="1"/>
        </w:numPr>
        <w:spacing w:after="120" w:line="264"/>
      </w:pPr>
      <w:r>
        <w:rPr>
          <w:rFonts w:ascii="Calibri" w:cs="Calibri" w:eastAsia="Calibri" w:hAnsi="Calibri"/>
          <w:sz w:val="22"/>
          <w:szCs w:val="22"/>
        </w:rPr>
        <w:t xml:space="preserve">Do not pre-sign. Bring the complete paper SPA and current official photo ID, appear before a duly commissioned traditional notary within the notary's territorial authority, and acknowledge the instrument as a free and voluntary act.</w:t>
      </w:r>
    </w:p>
    <w:p>
      <w:pPr>
        <w:pStyle w:val="ListParagraph"/>
        <w:keepNext/>
        <w:numPr>
          <w:ilvl w:val="0"/>
          <w:numId w:val="1"/>
        </w:numPr>
        <w:spacing w:after="120" w:line="264"/>
      </w:pPr>
      <w:r>
        <w:rPr>
          <w:rFonts w:ascii="Calibri" w:cs="Calibri" w:eastAsia="Calibri" w:hAnsi="Calibri"/>
          <w:sz w:val="22"/>
          <w:szCs w:val="22"/>
        </w:rPr>
        <w:t xml:space="preserve">Do not complete, edit, backdate, imitate, or alter the notarial or consular certificate, seal, register details, commission, document/page/book/series numbers, identity findings, apostille, or authentication. Those belong to the authorized officer.</w:t>
      </w:r>
    </w:p>
    <w:p>
      <w:pPr>
        <w:pStyle w:val="ListParagraph"/>
        <w:keepNext/>
        <w:numPr>
          <w:ilvl w:val="0"/>
          <w:numId w:val="1"/>
        </w:numPr>
        <w:spacing w:after="120" w:line="264"/>
      </w:pPr>
      <w:r>
        <w:rPr>
          <w:rFonts w:ascii="Calibri" w:cs="Calibri" w:eastAsia="Calibri" w:hAnsi="Calibri"/>
          <w:sz w:val="22"/>
          <w:szCs w:val="22"/>
        </w:rPr>
        <w:t xml:space="preserve">The attorney-in-fact should sign every transaction document in representative form—identifying the Principal and signing as attorney-in-fact—never in a way that hides the agency or suggests personal ownership.</w:t>
      </w:r>
    </w:p>
    <w:p>
      <w:pPr>
        <w:pStyle w:val="ListParagraph"/>
        <w:keepNext/>
        <w:numPr>
          <w:ilvl w:val="0"/>
          <w:numId w:val="1"/>
        </w:numPr>
        <w:spacing w:after="120" w:line="264"/>
      </w:pPr>
      <w:r>
        <w:rPr>
          <w:rFonts w:ascii="Calibri" w:cs="Calibri" w:eastAsia="Calibri" w:hAnsi="Calibri"/>
          <w:sz w:val="22"/>
          <w:szCs w:val="22"/>
        </w:rPr>
        <w:t xml:space="preserve">Keep an authority ledger: copies of every submission and signed document, official receipts, counterparty communications, amounts paid or received, and dates. Deliver funds and records under the written accounting instructions.</w:t>
      </w:r>
    </w:p>
    <w:p>
      <w:pPr>
        <w:pStyle w:val="ListParagraph"/>
        <w:keepNext/>
        <w:numPr>
          <w:ilvl w:val="0"/>
          <w:numId w:val="1"/>
        </w:numPr>
        <w:spacing w:after="120" w:line="264"/>
      </w:pPr>
      <w:r>
        <w:rPr>
          <w:rFonts w:ascii="Calibri" w:cs="Calibri" w:eastAsia="Calibri" w:hAnsi="Calibri"/>
          <w:sz w:val="22"/>
          <w:szCs w:val="22"/>
        </w:rPr>
        <w:t xml:space="preserve">If the SPA is revoked, completed, expired, or otherwise extinguished, promptly notify the attorney-in-fact and every known bank, registry, agency, court, buyer, seller, or other relying party; retrieve originals where possible and preserve proof of notice.</w:t>
      </w:r>
    </w:p>
    <w:p>
      <w:pPr>
        <w:pStyle w:val="ListParagraph"/>
        <w:keepNext/>
        <w:numPr>
          <w:ilvl w:val="0"/>
          <w:numId w:val="1"/>
        </w:numPr>
        <w:spacing w:after="120" w:line="264"/>
      </w:pPr>
      <w:r>
        <w:rPr>
          <w:rFonts w:ascii="Calibri" w:cs="Calibri" w:eastAsia="Calibri" w:hAnsi="Calibri"/>
          <w:sz w:val="22"/>
          <w:szCs w:val="22"/>
        </w:rPr>
        <w:t xml:space="preserve">This is not a durable or medical power of attorney and does not override incapacity, guardianship, court authority, succession, licensing, anti-money-laundering, sanctions, tax, registration, marital-property, or recipient-specific rules.</w:t>
      </w:r>
    </w:p>
    <w:p>
      <w:pPr>
        <w:pStyle w:val="ListParagraph"/>
        <w:keepNext/>
        <w:numPr>
          <w:ilvl w:val="0"/>
          <w:numId w:val="1"/>
        </w:numPr>
        <w:spacing w:after="120" w:line="264"/>
      </w:pPr>
      <w:r>
        <w:rPr>
          <w:rFonts w:ascii="Calibri" w:cs="Calibri" w:eastAsia="Calibri" w:hAnsi="Calibri"/>
          <w:sz w:val="22"/>
          <w:szCs w:val="22"/>
        </w:rPr>
        <w:t xml:space="preserve">Sign in front of two instrumental witnesses, who also sign. The Principal(s) and both witnesses must sign the left margin of every page except the page where the signatures already appear at the foot, and the notary must state the number of pages in the acknowledgment and seal the instrument (P.D. No. 1529, Sec. 112). Without these, the Register of Deeds can refuse to register the SPA.</w:t>
      </w:r>
    </w:p>
    <w:p>
      <w:pPr>
        <w:pStyle w:val="ListParagraph"/>
        <w:keepNext/>
        <w:numPr>
          <w:ilvl w:val="0"/>
          <w:numId w:val="1"/>
        </w:numPr>
        <w:spacing w:after="120" w:line="264"/>
      </w:pPr>
      <w:r>
        <w:rPr>
          <w:rFonts w:ascii="Calibri" w:cs="Calibri" w:eastAsia="Calibri" w:hAnsi="Calibri"/>
          <w:sz w:val="22"/>
          <w:szCs w:val="22"/>
        </w:rPr>
        <w:t xml:space="preserve">Register this SPA with Registry of Deeds for Makati City before or together with the deed it supports (P.D. No. 1529, Sec. 64). If you later revoke the SPA, register the revocation with the same Register of Deeds; informal notice alone does not protect you against a buyer who relies on the registered record.</w:t>
      </w:r>
    </w:p>
    <w:p>
      <w:pPr>
        <w:pStyle w:val="ListParagraph"/>
        <w:keepNext/>
        <w:numPr>
          <w:ilvl w:val="0"/>
          <w:numId w:val="1"/>
        </w:numPr>
        <w:spacing w:after="120" w:line="264"/>
      </w:pPr>
      <w:r>
        <w:rPr>
          <w:rFonts w:ascii="Calibri" w:cs="Calibri" w:eastAsia="Calibri" w:hAnsi="Calibri"/>
          <w:sz w:val="22"/>
          <w:szCs w:val="22"/>
        </w:rPr>
        <w:t xml:space="preserve">For a sale of land or an interest in land, Civil Code Article 1874 requires the agent's authority to be in writing or the sale is void. Verify the registered owner, exact title and technical description, liens, marital/community or co-ownership consent, price, taxes, eCAR, Registry of Deeds requirements, and the receiving party's original-copy rules with property counsel before signing.</w:t>
      </w:r>
    </w:p>
    <w:p>
      <w:pPr>
        <w:pStyle w:val="ListParagraph"/>
        <w:keepNext w:val="false"/>
        <w:numPr>
          <w:ilvl w:val="0"/>
          <w:numId w:val="1"/>
        </w:numPr>
        <w:spacing w:after="120" w:line="264"/>
      </w:pPr>
      <w:r>
        <w:rPr>
          <w:rFonts w:ascii="Calibri" w:cs="Calibri" w:eastAsia="Calibri" w:hAnsi="Calibri"/>
          <w:sz w:val="22"/>
          <w:szCs w:val="22"/>
        </w:rPr>
        <w:t xml:space="preserve">This SPA does not let the attorney-in-fact receive the price or acknowledge its receipt. Make sure the deed of sale states that the price is paid directly to the Principal, or turn on the receipt authority with a limit before signing.</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2026-08-30 onward, subject to the recorded review cycle | Engineering draft · independent Philippine lawyer review pending | Last legal check 2026-10-01 | Next review due 2026-11-30</w:t>
      </w:r>
    </w:p>
    <w:p>
      <w:pPr>
        <w:keepNext/>
        <w:spacing w:after="60" w:before="100"/>
      </w:pPr>
      <w:r>
        <w:rPr>
          <w:rFonts w:ascii="Calibri" w:cs="Calibri" w:eastAsia="Calibri" w:hAnsi="Calibri"/>
          <w:b/>
          <w:bCs/>
          <w:sz w:val="18"/>
          <w:szCs w:val="18"/>
        </w:rPr>
        <w:t xml:space="preserve">Republic Act No. 386 — Civil Code - Arts. 1868, 1874, 1877–1878 (including Art. 1878(3) on the special power to compromise and to submit to arbitration), 1881, 1883, 1887–1892, 1897–1900, and 1919–1931 (checked 2026-10-01)</w:t>
      </w:r>
    </w:p>
    <w:p>
      <w:pPr>
        <w:spacing w:after="120"/>
      </w:pPr>
      <w:hyperlink w:history="1" r:id="rIdav9rfuqxiqqqetevxswfb">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Executive Order No. 209 — Family Code - Arts. 96 and 124 on disposition or encumbrance of community/conjugal property (checked 2026-08-30)</w:t>
      </w:r>
    </w:p>
    <w:p>
      <w:pPr>
        <w:spacing w:after="120"/>
      </w:pPr>
      <w:hyperlink w:history="1" r:id="rIdqcpuphl5wruj-sz5rfvdv">
        <w:r>
          <w:rPr>
            <w:rFonts w:ascii="Calibri" w:cs="Calibri" w:eastAsia="Calibri" w:hAnsi="Calibri"/>
            <w:color w:val="315B75"/>
            <w:sz w:val="17"/>
            <w:szCs w:val="17"/>
            <w:u w:val="single"/>
          </w:rPr>
          <w:t xml:space="preserve">https://lawphil.net/executive/execord/eo1987/eo_209_1987.html</w:t>
        </w:r>
      </w:hyperlink>
    </w:p>
    <w:p>
      <w:pPr>
        <w:keepNext/>
        <w:spacing w:after="60" w:before="100"/>
      </w:pPr>
      <w:r>
        <w:rPr>
          <w:rFonts w:ascii="Calibri" w:cs="Calibri" w:eastAsia="Calibri" w:hAnsi="Calibri"/>
          <w:b/>
          <w:bCs/>
          <w:sz w:val="18"/>
          <w:szCs w:val="18"/>
        </w:rPr>
        <w:t xml:space="preserve">Presidential Decree No. 1529 — Property Registration Decree - Sec. 64 (a power of attorney dealing with registered land, and any instrument revoking it, is registered with the Register of Deeds where the land lies); Sec. 112, 2nd para. (two instrumental witnesses, left-margin signing of every page, and page count stated in the acknowledgment) (checked 2026-10-01)</w:t>
      </w:r>
    </w:p>
    <w:p>
      <w:pPr>
        <w:spacing w:after="120"/>
      </w:pPr>
      <w:hyperlink w:history="1" r:id="rId9n9udmxheunjk3fyyrtax">
        <w:r>
          <w:rPr>
            <w:rFonts w:ascii="Calibri" w:cs="Calibri" w:eastAsia="Calibri" w:hAnsi="Calibri"/>
            <w:color w:val="315B75"/>
            <w:sz w:val="17"/>
            <w:szCs w:val="17"/>
            <w:u w:val="single"/>
          </w:rPr>
          <w:t xml:space="preserve">https://lawphil.net/statutes/presdecs/pd1978/pd_1529_1978.html</w:t>
        </w:r>
      </w:hyperlink>
    </w:p>
    <w:p>
      <w:pPr>
        <w:keepNext/>
        <w:spacing w:after="60" w:before="100"/>
      </w:pPr>
      <w:r>
        <w:rPr>
          <w:rFonts w:ascii="Calibri" w:cs="Calibri" w:eastAsia="Calibri" w:hAnsi="Calibri"/>
          <w:b/>
          <w:bCs/>
          <w:sz w:val="18"/>
          <w:szCs w:val="18"/>
        </w:rPr>
        <w:t xml:space="preserve">2019 Amendments to the 1997 Rules of Civil Procedure (A.M. No. 19-10-20-SC) - Rule 18, Secs. 3–5: duty to appear at pre-trial, court-annexed mediation, and judicial dispute resolution; a representative must be fully authorized in writing to enter into an amicable settlement, to submit to alternative modes of dispute resolution, and to enter into stipulations or admissions of facts and documents; effect of failure to appear (checked 2026-10-01)</w:t>
      </w:r>
    </w:p>
    <w:p>
      <w:pPr>
        <w:spacing w:after="120"/>
      </w:pPr>
      <w:hyperlink w:history="1" r:id="rIdyjiuv-j7k6ez45hmnhgok">
        <w:r>
          <w:rPr>
            <w:rFonts w:ascii="Calibri" w:cs="Calibri" w:eastAsia="Calibri" w:hAnsi="Calibri"/>
            <w:color w:val="315B75"/>
            <w:sz w:val="17"/>
            <w:szCs w:val="17"/>
            <w:u w:val="single"/>
          </w:rPr>
          <w:t xml:space="preserve">https://lawphil.net/courts/rules/am_19-10-20-sc_2019.html</w:t>
        </w:r>
      </w:hyperlink>
    </w:p>
    <w:p>
      <w:pPr>
        <w:keepNext/>
        <w:spacing w:after="60" w:before="100"/>
      </w:pPr>
      <w:r>
        <w:rPr>
          <w:rFonts w:ascii="Calibri" w:cs="Calibri" w:eastAsia="Calibri" w:hAnsi="Calibri"/>
          <w:b/>
          <w:bCs/>
          <w:sz w:val="18"/>
          <w:szCs w:val="18"/>
        </w:rPr>
        <w:t xml:space="preserve">2004 Rules on Notarial Practice - Rule II, Sec. 1 (acknowledgment, including the representative's authority to sign in that capacity); Rule VIII, Sec. 2 (contents of the notarial certificate); personal appearance, identity evidence, and venue (checked 2026-10-01)</w:t>
      </w:r>
    </w:p>
    <w:p>
      <w:pPr>
        <w:spacing w:after="120"/>
      </w:pPr>
      <w:hyperlink w:history="1" r:id="rIdfpxnhrzthdzqqic8ocgwa">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A.M. No. 02-8-13-SC, 19 February 2008 - Competent evidence of identity (checked 2026-08-30)</w:t>
      </w:r>
    </w:p>
    <w:p>
      <w:pPr>
        <w:spacing w:after="120"/>
      </w:pPr>
      <w:hyperlink w:history="1" r:id="rIdnhsxfl6ug-no4q1_3p_qh">
        <w:r>
          <w:rPr>
            <w:rFonts w:ascii="Calibri" w:cs="Calibri" w:eastAsia="Calibri" w:hAnsi="Calibri"/>
            <w:color w:val="315B75"/>
            <w:sz w:val="17"/>
            <w:szCs w:val="17"/>
            <w:u w:val="single"/>
          </w:rPr>
          <w:t xml:space="preserve">https://lawphil.net/courts/supreme/am/am_02_8_13_sc_2008.html</w:t>
        </w:r>
      </w:hyperlink>
    </w:p>
    <w:p>
      <w:pPr>
        <w:keepNext/>
        <w:spacing w:after="60" w:before="100"/>
      </w:pPr>
      <w:r>
        <w:rPr>
          <w:rFonts w:ascii="Calibri" w:cs="Calibri" w:eastAsia="Calibri" w:hAnsi="Calibri"/>
          <w:b/>
          <w:bCs/>
          <w:sz w:val="18"/>
          <w:szCs w:val="18"/>
        </w:rPr>
        <w:t xml:space="preserve">Rules on Electronic Notarization (A.M. No. 24-10-14-SC) - Electronic acknowledgment through an SC-commissioned ENP and accredited ENF; the SC announced on 25 September 2026 that electronic notarization officially launches on 19 October 2026; remote electronic notarization for principals abroad only inside a Philippine embassy, consulate, or honorary-consul office (checked 2026-10-01)</w:t>
      </w:r>
    </w:p>
    <w:p>
      <w:pPr>
        <w:spacing w:after="120"/>
      </w:pPr>
      <w:hyperlink w:history="1" r:id="rIdw7qd8ntvti-h9c3l8tg9n">
        <w:r>
          <w:rPr>
            <w:rFonts w:ascii="Calibri" w:cs="Calibri" w:eastAsia="Calibri" w:hAnsi="Calibri"/>
            <w:color w:val="315B75"/>
            <w:sz w:val="17"/>
            <w:szCs w:val="17"/>
            <w:u w:val="single"/>
          </w:rPr>
          <w:t xml:space="preserve">https://sc.judiciary.gov.ph/24-10-14-sc-rules-on-electronic-notarization/</w:t>
        </w:r>
      </w:hyperlink>
    </w:p>
    <w:p>
      <w:pPr>
        <w:keepNext/>
        <w:spacing w:after="60" w:before="100"/>
      </w:pPr>
      <w:r>
        <w:rPr>
          <w:rFonts w:ascii="Calibri" w:cs="Calibri" w:eastAsia="Calibri" w:hAnsi="Calibri"/>
          <w:b/>
          <w:bCs/>
          <w:sz w:val="18"/>
          <w:szCs w:val="18"/>
        </w:rPr>
        <w:t xml:space="preserve">Alfiler v. Sps. Cayabyab, G.R. No. 217111, 13 March 2023 - Written and express authority for sale of land (Art. 1874); an agent's acts after the principal's death are void, subject to Arts. 1930–1931 (checked 2026-10-01)</w:t>
      </w:r>
    </w:p>
    <w:p>
      <w:pPr>
        <w:spacing w:after="120"/>
      </w:pPr>
      <w:hyperlink w:history="1" r:id="rIdzezuwdrdj5hu-pg1mlr7b">
        <w:r>
          <w:rPr>
            <w:rFonts w:ascii="Calibri" w:cs="Calibri" w:eastAsia="Calibri" w:hAnsi="Calibri"/>
            <w:color w:val="315B75"/>
            <w:sz w:val="17"/>
            <w:szCs w:val="17"/>
            <w:u w:val="single"/>
          </w:rPr>
          <w:t xml:space="preserve">https://lawphil.net/judjuris/juri2023/mar2023/gr_217111_2023.html</w:t>
        </w:r>
      </w:hyperlink>
    </w:p>
    <w:p>
      <w:pPr>
        <w:keepNext/>
        <w:spacing w:after="60" w:before="100"/>
      </w:pPr>
      <w:r>
        <w:rPr>
          <w:rFonts w:ascii="Calibri" w:cs="Calibri" w:eastAsia="Calibri" w:hAnsi="Calibri"/>
          <w:b/>
          <w:bCs/>
          <w:sz w:val="18"/>
          <w:szCs w:val="18"/>
        </w:rPr>
        <w:t xml:space="preserve">Rules of Court, Rule 138, Section 23 - Counsel authority and need for special authority to compromise litigation or receive less than full cash payment (checked 2026-08-30)</w:t>
      </w:r>
    </w:p>
    <w:p>
      <w:pPr>
        <w:spacing w:after="120"/>
      </w:pPr>
      <w:hyperlink w:history="1" r:id="rId_0gfc5anwbzvebj2yy4iv">
        <w:r>
          <w:rPr>
            <w:rFonts w:ascii="Calibri" w:cs="Calibri" w:eastAsia="Calibri" w:hAnsi="Calibri"/>
            <w:color w:val="315B75"/>
            <w:sz w:val="17"/>
            <w:szCs w:val="17"/>
            <w:u w:val="single"/>
          </w:rPr>
          <w:t xml:space="preserve">https://lawphil.net/courts/rules/rc_1964.html</w:t>
        </w:r>
      </w:hyperlink>
    </w:p>
    <w:p>
      <w:pPr>
        <w:keepNext/>
        <w:spacing w:after="60" w:before="100"/>
      </w:pPr>
      <w:r>
        <w:rPr>
          <w:rFonts w:ascii="Calibri" w:cs="Calibri" w:eastAsia="Calibri" w:hAnsi="Calibri"/>
          <w:b/>
          <w:bCs/>
          <w:sz w:val="18"/>
          <w:szCs w:val="18"/>
        </w:rPr>
        <w:t xml:space="preserve">Anido v. Republic, G.R. No. 253527 (footnote 100) - The Apostille Convention took effect for the Philippines on 14 May 2019 and covers notarial acts; a document notarized abroad in a Convention state may be apostilled instead of legalized (checked 2026-10-01)</w:t>
      </w:r>
    </w:p>
    <w:p>
      <w:pPr>
        <w:spacing w:after="120"/>
      </w:pPr>
      <w:hyperlink w:history="1" r:id="rIdefftubxu-3gqk8owlzmlp">
        <w:r>
          <w:rPr>
            <w:rFonts w:ascii="Calibri" w:cs="Calibri" w:eastAsia="Calibri" w:hAnsi="Calibri"/>
            <w:color w:val="315B75"/>
            <w:sz w:val="17"/>
            <w:szCs w:val="17"/>
            <w:u w:val="single"/>
          </w:rPr>
          <w:t xml:space="preserve">https://sc.judiciary.gov.ph/wp-content/uploads/2025/06/253527.pdf</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9rfuqxiqqqetevxswfb" Type="http://schemas.openxmlformats.org/officeDocument/2006/relationships/hyperlink" Target="https://lawphil.net/statutes/repacts/ra1949/ra_386_1949.html" TargetMode="External"/><Relationship Id="rIdqcpuphl5wruj-sz5rfvdv" Type="http://schemas.openxmlformats.org/officeDocument/2006/relationships/hyperlink" Target="https://lawphil.net/executive/execord/eo1987/eo_209_1987.html" TargetMode="External"/><Relationship Id="rId9n9udmxheunjk3fyyrtax" Type="http://schemas.openxmlformats.org/officeDocument/2006/relationships/hyperlink" Target="https://lawphil.net/statutes/presdecs/pd1978/pd_1529_1978.html" TargetMode="External"/><Relationship Id="rIdyjiuv-j7k6ez45hmnhgok" Type="http://schemas.openxmlformats.org/officeDocument/2006/relationships/hyperlink" Target="https://lawphil.net/courts/rules/am_19-10-20-sc_2019.html" TargetMode="External"/><Relationship Id="rIdfpxnhrzthdzqqic8ocgwa" Type="http://schemas.openxmlformats.org/officeDocument/2006/relationships/hyperlink" Target="https://sc.judiciary.gov.ph/wp-content/uploads/2022/08/02-08-13-SC-1.pdf" TargetMode="External"/><Relationship Id="rIdnhsxfl6ug-no4q1_3p_qh" Type="http://schemas.openxmlformats.org/officeDocument/2006/relationships/hyperlink" Target="https://lawphil.net/courts/supreme/am/am_02_8_13_sc_2008.html" TargetMode="External"/><Relationship Id="rIdw7qd8ntvti-h9c3l8tg9n" Type="http://schemas.openxmlformats.org/officeDocument/2006/relationships/hyperlink" Target="https://sc.judiciary.gov.ph/24-10-14-sc-rules-on-electronic-notarization/" TargetMode="External"/><Relationship Id="rIdzezuwdrdj5hu-pg1mlr7b" Type="http://schemas.openxmlformats.org/officeDocument/2006/relationships/hyperlink" Target="https://lawphil.net/judjuris/juri2023/mar2023/gr_217111_2023.html" TargetMode="External"/><Relationship Id="rId_0gfc5anwbzvebj2yy4iv" Type="http://schemas.openxmlformats.org/officeDocument/2006/relationships/hyperlink" Target="https://lawphil.net/courts/rules/rc_1964.html" TargetMode="External"/><Relationship Id="rIdefftubxu-3gqk8owlzmlp" Type="http://schemas.openxmlformats.org/officeDocument/2006/relationships/hyperlink" Target="https://sc.judiciary.gov.ph/wp-content/uploads/2025/06/253527.pdf"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POWER OF ATTORNEY</dc:title>
  <dc:creator>LAW.PH</dc:creator>
  <dc:description>Free sample of the Special Power of Attorney from LAW.PH, with fictional details</dc:description>
  <cp:lastModifiedBy>Un-named</cp:lastModifiedBy>
  <cp:revision>1</cp:revision>
  <dcterms:created xsi:type="dcterms:W3CDTF">2026-10-02T05:29:58.441Z</dcterms:created>
  <dcterms:modified xsi:type="dcterms:W3CDTF">2026-10-02T05:29:58.441Z</dcterms:modified>
</cp:coreProperties>
</file>

<file path=docProps/custom.xml><?xml version="1.0" encoding="utf-8"?>
<Properties xmlns="http://schemas.openxmlformats.org/officeDocument/2006/custom-properties" xmlns:vt="http://schemas.openxmlformats.org/officeDocument/2006/docPropsVTypes"/>
</file>