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FAMILY SUPPORT UNDERTAKING</w:t>
      </w:r>
    </w:p>
    <w:p>
      <w:pPr>
        <w:spacing w:after="160"/>
        <w:jc w:val="center"/>
      </w:pPr>
      <w:r>
        <w:rPr>
          <w:rFonts w:ascii="Calibri" w:cs="Calibri" w:eastAsia="Calibri" w:hAnsi="Calibri"/>
          <w:color w:val="566674"/>
          <w:sz w:val="18"/>
          <w:szCs w:val="18"/>
        </w:rPr>
        <w:t xml:space="preserve">Republic of the Philippines — Voluntary family support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family-lawyer review pending</w:t>
      </w:r>
    </w:p>
    <w:p>
      <w:pPr>
        <w:keepLines/>
        <w:spacing w:after="120" w:line="264"/>
        <w:jc w:val="both"/>
      </w:pPr>
      <w:r>
        <w:rPr>
          <w:rFonts w:ascii="Calibri" w:cs="Calibri" w:eastAsia="Calibri" w:hAnsi="Calibri"/>
          <w:sz w:val="22"/>
          <w:szCs w:val="22"/>
        </w:rPr>
        <w:t xml:space="preserve">This Family Support Undertaking (the "Undertaking") is made on September 26, 2026 at Quezon City, Philippines, by Roberto Villanueva, of legal age, residing at 9 Molave Drive, Tandang Sora, Quezon City 1116 (the "Giver"), in favor of Mateo Santos Villanueva, born on June 14, 2015 (the "Recipient"), the Giver's child, whose filiation is established by the child's PSA birth certificate, on which the Giver signed the acknowledgment of paternity. Payments are received by Maria Cristina Santos, residing at 45 Mabini Street, Quezon City 1100 (the "Payee").</w:t>
      </w:r>
    </w:p>
    <w:p>
      <w:pPr>
        <w:pStyle w:val="Heading2"/>
        <w:keepNext/>
        <w:spacing w:after="120" w:before="240"/>
      </w:pPr>
      <w:r>
        <w:rPr>
          <w:rFonts w:ascii="Calibri" w:cs="Calibri" w:eastAsia="Calibri" w:hAnsi="Calibri"/>
          <w:b/>
          <w:bCs/>
          <w:color w:val="102B3F"/>
          <w:sz w:val="26"/>
          <w:szCs w:val="26"/>
        </w:rPr>
        <w:t xml:space="preserve">1. Undertaking</w:t>
      </w:r>
    </w:p>
    <w:p>
      <w:pPr>
        <w:keepLines/>
        <w:spacing w:after="120" w:line="264"/>
        <w:jc w:val="both"/>
      </w:pPr>
      <w:r>
        <w:rPr>
          <w:rFonts w:ascii="Calibri" w:cs="Calibri" w:eastAsia="Calibri" w:hAnsi="Calibri"/>
          <w:sz w:val="22"/>
          <w:szCs w:val="22"/>
        </w:rPr>
        <w:t xml:space="preserve">The Giver voluntarily undertakes to give the Recipient support covering food and housing, medical and dental care, education, school fees, and supplies and transportation, on the terms of this Undertaking, in keeping with the duty of support between them under the Family Code (Articles 195 and 196).</w:t>
      </w:r>
    </w:p>
    <w:p>
      <w:pPr>
        <w:pStyle w:val="Heading2"/>
        <w:keepNext/>
        <w:spacing w:after="120" w:before="240"/>
      </w:pPr>
      <w:r>
        <w:rPr>
          <w:rFonts w:ascii="Calibri" w:cs="Calibri" w:eastAsia="Calibri" w:hAnsi="Calibri"/>
          <w:b/>
          <w:bCs/>
          <w:color w:val="102B3F"/>
          <w:sz w:val="26"/>
          <w:szCs w:val="26"/>
        </w:rPr>
        <w:t xml:space="preserve">2. Amount and payment</w:t>
      </w:r>
    </w:p>
    <w:p>
      <w:pPr>
        <w:keepLines/>
        <w:spacing w:after="120" w:line="264"/>
        <w:jc w:val="both"/>
      </w:pPr>
      <w:r>
        <w:rPr>
          <w:rFonts w:ascii="Calibri" w:cs="Calibri" w:eastAsia="Calibri" w:hAnsi="Calibri"/>
          <w:sz w:val="22"/>
          <w:szCs w:val="22"/>
        </w:rPr>
        <w:t xml:space="preserve">The Giver shall pay Twelve Thousand Pesos (PHP 12,000.00) every month to the Payee, on or before the 5th day, by Bank transfer to the payee's account ending in 4321.</w:t>
      </w:r>
    </w:p>
    <w:p>
      <w:pPr>
        <w:keepLines/>
        <w:spacing w:after="120" w:line="264"/>
        <w:jc w:val="both"/>
      </w:pPr>
      <w:r>
        <w:rPr>
          <w:rFonts w:ascii="Calibri" w:cs="Calibri" w:eastAsia="Calibri" w:hAnsi="Calibri"/>
          <w:sz w:val="22"/>
          <w:szCs w:val="22"/>
        </w:rPr>
        <w:t xml:space="preserve">The Giver shall also pay the following expenses directly: The giver pays the child's school tuition directly to the school each term.</w:t>
      </w:r>
    </w:p>
    <w:p>
      <w:pPr>
        <w:pStyle w:val="Heading2"/>
        <w:keepNext/>
        <w:spacing w:after="120" w:before="240"/>
      </w:pPr>
      <w:r>
        <w:rPr>
          <w:rFonts w:ascii="Calibri" w:cs="Calibri" w:eastAsia="Calibri" w:hAnsi="Calibri"/>
          <w:b/>
          <w:bCs/>
          <w:color w:val="102B3F"/>
          <w:sz w:val="26"/>
          <w:szCs w:val="26"/>
        </w:rPr>
        <w:t xml:space="preserve">3. Term</w:t>
      </w:r>
    </w:p>
    <w:p>
      <w:pPr>
        <w:keepLines/>
        <w:spacing w:after="120" w:line="264"/>
        <w:jc w:val="both"/>
      </w:pPr>
      <w:r>
        <w:rPr>
          <w:rFonts w:ascii="Calibri" w:cs="Calibri" w:eastAsia="Calibri" w:hAnsi="Calibri"/>
          <w:sz w:val="22"/>
          <w:szCs w:val="22"/>
        </w:rPr>
        <w:t xml:space="preserve">This Undertaking starts on October 1, 2026 and continues until the child turns 18 and completes a first college degree, whichever is later.</w:t>
      </w:r>
    </w:p>
    <w:p>
      <w:pPr>
        <w:pStyle w:val="Heading2"/>
        <w:keepNext/>
        <w:spacing w:after="120" w:before="240"/>
      </w:pPr>
      <w:r>
        <w:rPr>
          <w:rFonts w:ascii="Calibri" w:cs="Calibri" w:eastAsia="Calibri" w:hAnsi="Calibri"/>
          <w:b/>
          <w:bCs/>
          <w:color w:val="102B3F"/>
          <w:sz w:val="26"/>
          <w:szCs w:val="26"/>
        </w:rPr>
        <w:t xml:space="preserve">4. Review and adjustment</w:t>
      </w:r>
    </w:p>
    <w:p>
      <w:pPr>
        <w:keepLines/>
        <w:spacing w:after="120" w:line="264"/>
        <w:jc w:val="both"/>
      </w:pPr>
      <w:r>
        <w:rPr>
          <w:rFonts w:ascii="Calibri" w:cs="Calibri" w:eastAsia="Calibri" w:hAnsi="Calibri"/>
          <w:sz w:val="22"/>
          <w:szCs w:val="22"/>
        </w:rPr>
        <w:t xml:space="preserve">Support is given in proportion to the Giver's resources and the Recipient's needs. The Giver and the Payee shall review the amount at least every 12 months, and the amount may be increased or reduced when those resources or needs change. A change takes effect only when both agree in writing or a court orders it.</w:t>
      </w:r>
    </w:p>
    <w:p>
      <w:pPr>
        <w:pStyle w:val="Heading2"/>
        <w:keepNext/>
        <w:spacing w:after="120" w:before="240"/>
      </w:pPr>
      <w:r>
        <w:rPr>
          <w:rFonts w:ascii="Calibri" w:cs="Calibri" w:eastAsia="Calibri" w:hAnsi="Calibri"/>
          <w:b/>
          <w:bCs/>
          <w:color w:val="102B3F"/>
          <w:sz w:val="26"/>
          <w:szCs w:val="26"/>
        </w:rPr>
        <w:t xml:space="preserve">5. Records</w:t>
      </w:r>
    </w:p>
    <w:p>
      <w:pPr>
        <w:keepLines/>
        <w:spacing w:after="120" w:line="264"/>
        <w:jc w:val="both"/>
      </w:pPr>
      <w:r>
        <w:rPr>
          <w:rFonts w:ascii="Calibri" w:cs="Calibri" w:eastAsia="Calibri" w:hAnsi="Calibri"/>
          <w:sz w:val="22"/>
          <w:szCs w:val="22"/>
        </w:rPr>
        <w:t xml:space="preserve">Each payment shall be recorded through bank transfer records or a signed receipt, and each side shall keep them.</w:t>
      </w:r>
    </w:p>
    <w:p>
      <w:pPr>
        <w:pStyle w:val="Heading2"/>
        <w:keepNext/>
        <w:spacing w:after="120" w:before="240"/>
      </w:pPr>
      <w:r>
        <w:rPr>
          <w:rFonts w:ascii="Calibri" w:cs="Calibri" w:eastAsia="Calibri" w:hAnsi="Calibri"/>
          <w:b/>
          <w:bCs/>
          <w:color w:val="102B3F"/>
          <w:sz w:val="26"/>
          <w:szCs w:val="26"/>
        </w:rPr>
        <w:t xml:space="preserve">6. What this Undertaking does not do</w:t>
      </w:r>
    </w:p>
    <w:p>
      <w:pPr>
        <w:keepLines/>
        <w:spacing w:after="120" w:line="264"/>
        <w:jc w:val="both"/>
      </w:pPr>
      <w:r>
        <w:rPr>
          <w:rFonts w:ascii="Calibri" w:cs="Calibri" w:eastAsia="Calibri" w:hAnsi="Calibri"/>
          <w:sz w:val="22"/>
          <w:szCs w:val="22"/>
        </w:rPr>
        <w:t xml:space="preserve">This Undertaking is in addition to, and does not reduce, any support that the law requires the Giver to give. It does not waive or compromise the Recipient's right to future support, which the law does not allow (Civil Code, Article 2035).</w:t>
      </w:r>
    </w:p>
    <w:p>
      <w:pPr>
        <w:keepLines/>
        <w:spacing w:after="120" w:line="264"/>
        <w:jc w:val="both"/>
      </w:pPr>
      <w:r>
        <w:rPr>
          <w:rFonts w:ascii="Calibri" w:cs="Calibri" w:eastAsia="Calibri" w:hAnsi="Calibri"/>
          <w:sz w:val="22"/>
          <w:szCs w:val="22"/>
        </w:rPr>
        <w:t xml:space="preserve">This Undertaking does not decide custody, visitation, parental authority, legitimacy, or civil status.</w:t>
      </w:r>
    </w:p>
    <w:p>
      <w:pPr>
        <w:keepLines/>
        <w:spacing w:after="120" w:line="264"/>
        <w:jc w:val="both"/>
      </w:pPr>
      <w:r>
        <w:rPr>
          <w:rFonts w:ascii="Calibri" w:cs="Calibri" w:eastAsia="Calibri" w:hAnsi="Calibri"/>
          <w:sz w:val="22"/>
          <w:szCs w:val="22"/>
        </w:rPr>
        <w:t xml:space="preserve">If the Giver does not pay, the Recipient or the Payee may demand payment and may ask a court for support.</w:t>
      </w:r>
    </w:p>
    <w:p>
      <w:pPr>
        <w:pStyle w:val="Heading2"/>
        <w:keepNext/>
        <w:spacing w:after="120" w:before="240"/>
      </w:pPr>
      <w:r>
        <w:rPr>
          <w:rFonts w:ascii="Calibri" w:cs="Calibri" w:eastAsia="Calibri" w:hAnsi="Calibri"/>
          <w:b/>
          <w:bCs/>
          <w:color w:val="102B3F"/>
          <w:sz w:val="26"/>
          <w:szCs w:val="26"/>
        </w:rPr>
        <w:t xml:space="preserve">7. General terms</w:t>
      </w:r>
    </w:p>
    <w:p>
      <w:pPr>
        <w:keepLines/>
        <w:spacing w:after="120" w:line="264"/>
        <w:jc w:val="both"/>
      </w:pPr>
      <w:r>
        <w:rPr>
          <w:rFonts w:ascii="Calibri" w:cs="Calibri" w:eastAsia="Calibri" w:hAnsi="Calibri"/>
          <w:sz w:val="22"/>
          <w:szCs w:val="22"/>
        </w:rPr>
        <w:t xml:space="preserve">The Giver signs this Undertaking voluntarily. Philippine law governs it. If any provision is held invalid, the rest remains in force.</w:t>
      </w:r>
    </w:p>
    <w:p>
      <w:pPr>
        <w:keepNext/>
        <w:spacing w:after="260" w:before="360"/>
      </w:pPr>
      <w:r>
        <w:rPr>
          <w:rFonts w:ascii="Calibri" w:cs="Calibri" w:eastAsia="Calibri" w:hAnsi="Calibri"/>
          <w:b/>
          <w:bCs/>
          <w:sz w:val="22"/>
          <w:szCs w:val="22"/>
        </w:rPr>
        <w:t xml:space="preserve">SIGNED on September 26, 2026 at Quezon City, Philippines. Each side keeps a signed copy.</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GIVER</w:t>
            </w:r>
          </w:p>
          <w:p>
            <w:pPr>
              <w:spacing w:after="120"/>
            </w:pPr>
            <w:r>
              <w:rPr>
                <w:rFonts w:ascii="Calibri" w:cs="Calibri" w:eastAsia="Calibri" w:hAnsi="Calibri"/>
                <w:sz w:val="22"/>
                <w:szCs w:val="22"/>
              </w:rPr>
              <w:t xml:space="preserve">Roberto Villanueva
Signature over printed name: ______________________________</w:t>
            </w:r>
          </w:p>
          <w:p>
            <w:pPr>
              <w:spacing w:after="120"/>
            </w:pPr>
            <w:r>
              <w:rPr>
                <w:rFonts w:ascii="Calibri" w:cs="Calibri" w:eastAsia="Calibri" w:hAnsi="Calibri"/>
                <w:sz w:val="22"/>
                <w:szCs w:val="22"/>
              </w:rPr>
              <w:t xml:space="preserve">Giver of support</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PAYEE — RECEIPT AND CONFORME</w:t>
            </w:r>
          </w:p>
          <w:p>
            <w:pPr>
              <w:spacing w:after="120"/>
            </w:pPr>
            <w:r>
              <w:rPr>
                <w:rFonts w:ascii="Calibri" w:cs="Calibri" w:eastAsia="Calibri" w:hAnsi="Calibri"/>
                <w:sz w:val="22"/>
                <w:szCs w:val="22"/>
              </w:rPr>
              <w:t xml:space="preserve">Maria Cristina Santos
Signature over printed name: ______________________________</w:t>
            </w:r>
          </w:p>
          <w:p>
            <w:pPr>
              <w:spacing w:after="120"/>
            </w:pPr>
            <w:r>
              <w:rPr>
                <w:rFonts w:ascii="Calibri" w:cs="Calibri" w:eastAsia="Calibri" w:hAnsi="Calibri"/>
                <w:sz w:val="22"/>
                <w:szCs w:val="22"/>
              </w:rPr>
              <w:t xml:space="preserve">Payee, receiving support for the Recipient</w:t>
            </w:r>
          </w:p>
          <w:p>
            <w:r>
              <w:rPr>
                <w:rFonts w:ascii="Calibri" w:cs="Calibri" w:eastAsia="Calibri" w:hAnsi="Calibri"/>
                <w:sz w:val="22"/>
                <w:szCs w:val="22"/>
              </w:rPr>
              <w:t xml:space="preserve">Date: ______________________________</w:t>
            </w:r>
          </w:p>
        </w:tc>
      </w:tr>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WITNESS</w:t>
            </w:r>
          </w:p>
          <w:p>
            <w:pPr>
              <w:spacing w:after="120"/>
            </w:pPr>
            <w:r>
              <w:rPr>
                <w:rFonts w:ascii="Calibri" w:cs="Calibri" w:eastAsia="Calibri" w:hAnsi="Calibri"/>
                <w:sz w:val="22"/>
                <w:szCs w:val="22"/>
              </w:rPr>
              <w:t xml:space="preserve">Alfredo N. Mercado
Signature over printed name: ______________________________</w:t>
            </w:r>
          </w:p>
          <w:p>
            <w:pPr>
              <w:spacing w:after="120"/>
            </w:pPr>
            <w:r>
              <w:rPr>
                <w:rFonts w:ascii="Calibri" w:cs="Calibri" w:eastAsia="Calibri" w:hAnsi="Calibri"/>
                <w:sz w:val="22"/>
                <w:szCs w:val="22"/>
              </w:rPr>
              <w:t xml:space="preserve">Witness</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WITNESS</w:t>
            </w:r>
          </w:p>
          <w:p>
            <w:pPr>
              <w:spacing w:after="120"/>
            </w:pPr>
            <w:r>
              <w:rPr>
                <w:rFonts w:ascii="Calibri" w:cs="Calibri" w:eastAsia="Calibri" w:hAnsi="Calibri"/>
                <w:sz w:val="22"/>
                <w:szCs w:val="22"/>
              </w:rPr>
              <w:t xml:space="preserve">Josefina C. Aquino
Signature over printed name: ______________________________</w:t>
            </w:r>
          </w:p>
          <w:p>
            <w:pPr>
              <w:spacing w:after="120"/>
            </w:pPr>
            <w:r>
              <w:rPr>
                <w:rFonts w:ascii="Calibri" w:cs="Calibri" w:eastAsia="Calibri" w:hAnsi="Calibri"/>
                <w:sz w:val="22"/>
                <w:szCs w:val="22"/>
              </w:rPr>
              <w:t xml:space="preserve">Witness</w:t>
            </w:r>
          </w:p>
          <w:p>
            <w:r>
              <w:rPr>
                <w:rFonts w:ascii="Calibri" w:cs="Calibri" w:eastAsia="Calibri" w:hAnsi="Calibri"/>
                <w:sz w:val="22"/>
                <w:szCs w:val="22"/>
              </w:rPr>
              <w:t xml:space="preserve">Date: ______________________________</w:t>
            </w:r>
          </w:p>
        </w:tc>
      </w:tr>
    </w:tbl>
    <w:p>
      <w:pPr>
        <w:pStyle w:val="Heading2"/>
        <w:keepNext/>
        <w:spacing w:after="120" w:before="240"/>
      </w:pPr>
      <w:r>
        <w:rPr>
          <w:rFonts w:ascii="Calibri" w:cs="Calibri" w:eastAsia="Calibri" w:hAnsi="Calibri"/>
          <w:b/>
          <w:bCs/>
          <w:color w:val="102B3F"/>
          <w:sz w:val="26"/>
          <w:szCs w:val="26"/>
        </w:rPr>
        <w:t xml:space="preserve">ACKNOWLEDGMENT — FOR THE NOTARIAL OFFICER TO COMPLETE</w:t>
      </w:r>
    </w:p>
    <w:p>
      <w:pPr>
        <w:keepLines/>
        <w:spacing w:after="120" w:line="264"/>
        <w:jc w:val="both"/>
      </w:pPr>
      <w:r>
        <w:rPr>
          <w:rFonts w:ascii="Calibri" w:cs="Calibri" w:eastAsia="Calibri" w:hAnsi="Calibri"/>
          <w:sz w:val="22"/>
          <w:szCs w:val="22"/>
        </w:rPr>
        <w:t xml:space="preserve">BEFORE ME, a Notary Public for and in Quezon City, Philippines, on __________________, personally appeared Roberto Villanueva and Maria Cristina Santos, identified through competent evidence of identity, ID No(s). __________________ / issued at and on __________________ / valid until __________________, known to me and to me known to be the same person(s) who executed this Family Support Undertaking and acknowledged that it is their free and voluntary act and deed.</w:t>
      </w:r>
    </w:p>
    <w:p>
      <w:pPr>
        <w:keepLines/>
        <w:spacing w:after="120" w:line="264"/>
        <w:jc w:val="both"/>
      </w:pPr>
      <w:r>
        <w:rPr>
          <w:rFonts w:ascii="Calibri" w:cs="Calibri" w:eastAsia="Calibri" w:hAnsi="Calibri"/>
          <w:sz w:val="22"/>
          <w:szCs w:val="22"/>
        </w:rPr>
        <w:t xml:space="preserve">NOTARY PUBLIC
Commission No.: __________________
PTR / IBP / Roll details: __________________
Office address: __________________
Doc. No.: ______; Page No.: ______; Book No.: ______; Series of ______.</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Naming the recipient as your child in a signed or notarized document can be used as proof of filiation (parentage) under Family Code Arts. 172 and 175. This document does so because you said parentage is already established by the record you named. Get legal advice before signing if parentage is in any doubt.</w:t>
      </w:r>
    </w:p>
    <w:p>
      <w:pPr>
        <w:pStyle w:val="ListParagraph"/>
        <w:keepNext/>
        <w:numPr>
          <w:ilvl w:val="0"/>
          <w:numId w:val="1"/>
        </w:numPr>
        <w:spacing w:after="120" w:line="264"/>
      </w:pPr>
      <w:r>
        <w:rPr>
          <w:rFonts w:ascii="Calibri" w:cs="Calibri" w:eastAsia="Calibri" w:hAnsi="Calibri"/>
          <w:sz w:val="22"/>
          <w:szCs w:val="22"/>
        </w:rPr>
        <w:t xml:space="preserve">Support that the law requires cannot be waived or compromised for the future (Civil Code, Article 2035). This Undertaking is voluntary and is in addition to that duty. It never lowers it.</w:t>
      </w:r>
    </w:p>
    <w:p>
      <w:pPr>
        <w:pStyle w:val="ListParagraph"/>
        <w:keepNext/>
        <w:numPr>
          <w:ilvl w:val="0"/>
          <w:numId w:val="1"/>
        </w:numPr>
        <w:spacing w:after="120" w:line="264"/>
      </w:pPr>
      <w:r>
        <w:rPr>
          <w:rFonts w:ascii="Calibri" w:cs="Calibri" w:eastAsia="Calibri" w:hAnsi="Calibri"/>
          <w:sz w:val="22"/>
          <w:szCs w:val="22"/>
        </w:rPr>
        <w:t xml:space="preserve">If a court order or a court-approved agreement on support exists, follow it exactly. Only the court can change it. Keep paying as ordered even while you discuss a new arrangement.</w:t>
      </w:r>
    </w:p>
    <w:p>
      <w:pPr>
        <w:pStyle w:val="ListParagraph"/>
        <w:keepNext/>
        <w:numPr>
          <w:ilvl w:val="0"/>
          <w:numId w:val="1"/>
        </w:numPr>
        <w:spacing w:after="120" w:line="264"/>
      </w:pPr>
      <w:r>
        <w:rPr>
          <w:rFonts w:ascii="Calibri" w:cs="Calibri" w:eastAsia="Calibri" w:hAnsi="Calibri"/>
          <w:sz w:val="22"/>
          <w:szCs w:val="22"/>
        </w:rPr>
        <w:t xml:space="preserve">Support should be proportionate to the giver's resources and the recipient's needs (Family Code, Article 201) and is reduced or increased as they change (Article 202). Review the amount regularly and record any change in writing.</w:t>
      </w:r>
    </w:p>
    <w:p>
      <w:pPr>
        <w:pStyle w:val="ListParagraph"/>
        <w:keepNext/>
        <w:numPr>
          <w:ilvl w:val="0"/>
          <w:numId w:val="1"/>
        </w:numPr>
        <w:spacing w:after="120" w:line="264"/>
      </w:pPr>
      <w:r>
        <w:rPr>
          <w:rFonts w:ascii="Calibri" w:cs="Calibri" w:eastAsia="Calibri" w:hAnsi="Calibri"/>
          <w:sz w:val="22"/>
          <w:szCs w:val="22"/>
        </w:rPr>
        <w:t xml:space="preserve">Support the law requires is paid in advance within the first five days of each month (Family Code, Article 203).</w:t>
      </w:r>
    </w:p>
    <w:p>
      <w:pPr>
        <w:pStyle w:val="ListParagraph"/>
        <w:keepNext/>
        <w:numPr>
          <w:ilvl w:val="0"/>
          <w:numId w:val="1"/>
        </w:numPr>
        <w:spacing w:after="120" w:line="264"/>
      </w:pPr>
      <w:r>
        <w:rPr>
          <w:rFonts w:ascii="Calibri" w:cs="Calibri" w:eastAsia="Calibri" w:hAnsi="Calibri"/>
          <w:sz w:val="22"/>
          <w:szCs w:val="22"/>
        </w:rPr>
        <w:t xml:space="preserve">Parents owe support to their children. Refusing or withdrawing support can lead to civil claims and, in some situations, to liability for economic abuse under Republic Act No. 9262. Get legal advice if you are unsure.</w:t>
      </w:r>
    </w:p>
    <w:p>
      <w:pPr>
        <w:pStyle w:val="ListParagraph"/>
        <w:keepNext/>
        <w:numPr>
          <w:ilvl w:val="0"/>
          <w:numId w:val="1"/>
        </w:numPr>
        <w:spacing w:after="120" w:line="264"/>
      </w:pPr>
      <w:r>
        <w:rPr>
          <w:rFonts w:ascii="Calibri" w:cs="Calibri" w:eastAsia="Calibri" w:hAnsi="Calibri"/>
          <w:sz w:val="22"/>
          <w:szCs w:val="22"/>
        </w:rPr>
        <w:t xml:space="preserve">Keep proof of every payment, such as bank transfer records or signed receipts, and note the date and the purpose of each one.</w:t>
      </w:r>
    </w:p>
    <w:p>
      <w:pPr>
        <w:pStyle w:val="ListParagraph"/>
        <w:keepNext/>
        <w:numPr>
          <w:ilvl w:val="0"/>
          <w:numId w:val="1"/>
        </w:numPr>
        <w:spacing w:after="120" w:line="264"/>
      </w:pPr>
      <w:r>
        <w:rPr>
          <w:rFonts w:ascii="Calibri" w:cs="Calibri" w:eastAsia="Calibri" w:hAnsi="Calibri"/>
          <w:sz w:val="22"/>
          <w:szCs w:val="22"/>
        </w:rPr>
        <w:t xml:space="preserve">Schools, embassies, and agencies may require their own format, often a notarized affidavit of support. Check what the receiving office requires. This Undertaking may not satisfy it.</w:t>
      </w:r>
    </w:p>
    <w:p>
      <w:pPr>
        <w:pStyle w:val="ListParagraph"/>
        <w:keepNext/>
        <w:numPr>
          <w:ilvl w:val="0"/>
          <w:numId w:val="1"/>
        </w:numPr>
        <w:spacing w:after="120" w:line="264"/>
      </w:pPr>
      <w:r>
        <w:rPr>
          <w:rFonts w:ascii="Calibri" w:cs="Calibri" w:eastAsia="Calibri" w:hAnsi="Calibri"/>
          <w:sz w:val="22"/>
          <w:szCs w:val="22"/>
        </w:rPr>
        <w:t xml:space="preserve">Do not use this document to settle custody, visitation, legitimacy, or civil status. These cannot be compromised by private agreement.</w:t>
      </w:r>
    </w:p>
    <w:p>
      <w:pPr>
        <w:pStyle w:val="ListParagraph"/>
        <w:keepNext/>
        <w:numPr>
          <w:ilvl w:val="0"/>
          <w:numId w:val="1"/>
        </w:numPr>
        <w:spacing w:after="120" w:line="264"/>
      </w:pPr>
      <w:r>
        <w:rPr>
          <w:rFonts w:ascii="Calibri" w:cs="Calibri" w:eastAsia="Calibri" w:hAnsi="Calibri"/>
          <w:sz w:val="22"/>
          <w:szCs w:val="22"/>
        </w:rPr>
        <w:t xml:space="preserve">Notarization is optional but helps prove that the Giver made the Undertaking voluntarily. Each signer must appear in person with valid ID. Electronic notarization becomes available only once the Supreme Court's electronic notarization launches (announced for 19 October 2026), and only before an electronic notary public commissioned by the Supreme Court.</w:t>
      </w:r>
    </w:p>
    <w:p>
      <w:pPr>
        <w:pStyle w:val="ListParagraph"/>
        <w:keepNext/>
        <w:numPr>
          <w:ilvl w:val="0"/>
          <w:numId w:val="1"/>
        </w:numPr>
        <w:spacing w:after="120" w:line="264"/>
      </w:pPr>
      <w:r>
        <w:rPr>
          <w:rFonts w:ascii="Calibri" w:cs="Calibri" w:eastAsia="Calibri" w:hAnsi="Calibri"/>
          <w:sz w:val="22"/>
          <w:szCs w:val="22"/>
        </w:rPr>
        <w:t xml:space="preserve">If the Giver stops paying, the Recipient or the Payee can send a written demand and then ask the court for support. The Public Attorney's Office may help those who qualify.</w:t>
      </w:r>
    </w:p>
    <w:p>
      <w:pPr>
        <w:pStyle w:val="ListParagraph"/>
        <w:keepNext w:val="false"/>
        <w:numPr>
          <w:ilvl w:val="0"/>
          <w:numId w:val="1"/>
        </w:numPr>
        <w:spacing w:after="120" w:line="264"/>
      </w:pPr>
      <w:r>
        <w:rPr>
          <w:rFonts w:ascii="Calibri" w:cs="Calibri" w:eastAsia="Calibri" w:hAnsi="Calibri"/>
          <w:sz w:val="22"/>
          <w:szCs w:val="22"/>
        </w:rPr>
        <w:t xml:space="preserve">Use a Philippine family lawyer for a dispute about the amount, a court case, a claim of abuse, or a request to reduce an existing order.</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2026-10-01 onward, subject to the recorded review cycle | Independent Philippine family-lawyer review pending | Last legal check 2026-10-01 | Next review due 2026-12-01</w:t>
      </w:r>
    </w:p>
    <w:p>
      <w:pPr>
        <w:keepNext/>
        <w:spacing w:after="60" w:before="100"/>
      </w:pPr>
      <w:r>
        <w:rPr>
          <w:rFonts w:ascii="Calibri" w:cs="Calibri" w:eastAsia="Calibri" w:hAnsi="Calibri"/>
          <w:b/>
          <w:bCs/>
          <w:sz w:val="18"/>
          <w:szCs w:val="18"/>
        </w:rPr>
        <w:t xml:space="preserve">Family Code of the Philippines (Executive Order No. 209) - Arts. 172 and 175 (proof of filiation, including an admission in a public document or signed private handwritten instrument); Arts. 194–208 (support): what support covers, who must give it (Arts. 195–196; lawphil labels Art. 195 as "Article 105" by typo), proportion to resources and needs (Art. 201), increase or reduction (Art. 202), payment within the first five days of each month (Art. 203) (checked 2026-10-01)</w:t>
      </w:r>
    </w:p>
    <w:p>
      <w:pPr>
        <w:spacing w:after="120"/>
      </w:pPr>
      <w:hyperlink w:history="1" r:id="rIdeplwb_e7pq1afkziflj6j">
        <w:r>
          <w:rPr>
            <w:rFonts w:ascii="Calibri" w:cs="Calibri" w:eastAsia="Calibri" w:hAnsi="Calibri"/>
            <w:color w:val="315B75"/>
            <w:sz w:val="17"/>
            <w:szCs w:val="17"/>
            <w:u w:val="single"/>
          </w:rPr>
          <w:t xml:space="preserve">https://lawphil.net/executive/execord/eo1987/eo_209_1987.html</w:t>
        </w:r>
      </w:hyperlink>
    </w:p>
    <w:p>
      <w:pPr>
        <w:keepNext/>
        <w:spacing w:after="60" w:before="100"/>
      </w:pPr>
      <w:r>
        <w:rPr>
          <w:rFonts w:ascii="Calibri" w:cs="Calibri" w:eastAsia="Calibri" w:hAnsi="Calibri"/>
          <w:b/>
          <w:bCs/>
          <w:sz w:val="18"/>
          <w:szCs w:val="18"/>
        </w:rPr>
        <w:t xml:space="preserve">Civil Code of the Philippines (Republic Act No. 386) - Art. 2035: no valid compromise on future support, civil status, or other reserved questions; Arts. 741, 745 and 748: acceptance of donations, including by a minor's parents or legal representative, and written donation and acceptance of money above PHP 5,000 (checked 2026-10-01)</w:t>
      </w:r>
    </w:p>
    <w:p>
      <w:pPr>
        <w:spacing w:after="120"/>
      </w:pPr>
      <w:hyperlink w:history="1" r:id="rIdgyzh_ozg1al_kkbr5tfh5">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Tax Reform for Acceleration and Inclusion Act (Republic Act No. 10963) - Sec. 28 amending NIRC Sec. 99: donor's tax of six percent on total gifts in excess of PHP 250,000 made during the calendar year (checked 2026-10-01)</w:t>
      </w:r>
    </w:p>
    <w:p>
      <w:pPr>
        <w:spacing w:after="120"/>
      </w:pPr>
      <w:hyperlink w:history="1" r:id="rId5s8u5lzk67niei_bmfgwd">
        <w:r>
          <w:rPr>
            <w:rFonts w:ascii="Calibri" w:cs="Calibri" w:eastAsia="Calibri" w:hAnsi="Calibri"/>
            <w:color w:val="315B75"/>
            <w:sz w:val="17"/>
            <w:szCs w:val="17"/>
            <w:u w:val="single"/>
          </w:rPr>
          <w:t xml:space="preserve">https://lawphil.net/statutes/repacts/ra2017/ra_10963_2017.html</w:t>
        </w:r>
      </w:hyperlink>
    </w:p>
    <w:p>
      <w:pPr>
        <w:keepNext/>
        <w:spacing w:after="60" w:before="100"/>
      </w:pPr>
      <w:r>
        <w:rPr>
          <w:rFonts w:ascii="Calibri" w:cs="Calibri" w:eastAsia="Calibri" w:hAnsi="Calibri"/>
          <w:b/>
          <w:bCs/>
          <w:sz w:val="18"/>
          <w:szCs w:val="18"/>
        </w:rPr>
        <w:t xml:space="preserve">Anti-Violence Against Women and Their Children Act of 2004 (Republic Act No. 9262) - Secs. 5 and 8: economic abuse and support in protection orders (checked 2026-09-21)</w:t>
      </w:r>
    </w:p>
    <w:p>
      <w:pPr>
        <w:spacing w:after="120"/>
      </w:pPr>
      <w:hyperlink w:history="1" r:id="rIdwxrvidodv61txk8jzhuyo">
        <w:r>
          <w:rPr>
            <w:rFonts w:ascii="Calibri" w:cs="Calibri" w:eastAsia="Calibri" w:hAnsi="Calibri"/>
            <w:color w:val="315B75"/>
            <w:sz w:val="17"/>
            <w:szCs w:val="17"/>
            <w:u w:val="single"/>
          </w:rPr>
          <w:t xml:space="preserve">https://lawphil.net/statutes/repacts/ra2004/ra_9262_2004.html</w:t>
        </w:r>
      </w:hyperlink>
    </w:p>
    <w:p>
      <w:pPr>
        <w:keepNext/>
        <w:spacing w:after="60" w:before="100"/>
      </w:pPr>
      <w:r>
        <w:rPr>
          <w:rFonts w:ascii="Calibri" w:cs="Calibri" w:eastAsia="Calibri" w:hAnsi="Calibri"/>
          <w:b/>
          <w:bCs/>
          <w:sz w:val="18"/>
          <w:szCs w:val="18"/>
        </w:rPr>
        <w:t xml:space="preserve">2004 Rules on Notarial Practice - Acknowledgment, personal appearance, competent evidence of identity, and certificate requirements where the undertaking is notarized (checked 2026-09-21)</w:t>
      </w:r>
    </w:p>
    <w:p>
      <w:pPr>
        <w:spacing w:after="120"/>
      </w:pPr>
      <w:hyperlink w:history="1" r:id="rIdhpxuxtrb7y0nzqduionfi">
        <w:r>
          <w:rPr>
            <w:rFonts w:ascii="Calibri" w:cs="Calibri" w:eastAsia="Calibri" w:hAnsi="Calibri"/>
            <w:color w:val="315B75"/>
            <w:sz w:val="17"/>
            <w:szCs w:val="17"/>
            <w:u w:val="single"/>
          </w:rPr>
          <w:t xml:space="preserve">https://sc.judiciary.gov.ph/wp-content/uploads/2022/08/02-08-13-SC-1.pdf</w:t>
        </w:r>
      </w:hyperlink>
    </w:p>
    <w:p>
      <w:pPr>
        <w:keepNext/>
        <w:spacing w:after="60" w:before="100"/>
      </w:pPr>
      <w:r>
        <w:rPr>
          <w:rFonts w:ascii="Calibri" w:cs="Calibri" w:eastAsia="Calibri" w:hAnsi="Calibri"/>
          <w:b/>
          <w:bCs/>
          <w:sz w:val="18"/>
          <w:szCs w:val="18"/>
        </w:rPr>
        <w:t xml:space="preserve">Rules on Electronic Notarization (A.M. No. 24-10-14-SC) - Electronic notarization route, accredited electronic notary and facility requirements (checked 2026-09-21)</w:t>
      </w:r>
    </w:p>
    <w:p>
      <w:pPr>
        <w:spacing w:after="120"/>
      </w:pPr>
      <w:hyperlink w:history="1" r:id="rIdcdrmevvq3ivk4s_cefu5k">
        <w:r>
          <w:rPr>
            <w:rFonts w:ascii="Calibri" w:cs="Calibri" w:eastAsia="Calibri" w:hAnsi="Calibri"/>
            <w:color w:val="315B75"/>
            <w:sz w:val="17"/>
            <w:szCs w:val="17"/>
            <w:u w:val="single"/>
          </w:rPr>
          <w:t xml:space="preserve">https://sc.judiciary.gov.ph/24-10-14-sc-rules-on-electronic-notarization/</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plwb_e7pq1afkziflj6j" Type="http://schemas.openxmlformats.org/officeDocument/2006/relationships/hyperlink" Target="https://lawphil.net/executive/execord/eo1987/eo_209_1987.html" TargetMode="External"/><Relationship Id="rIdgyzh_ozg1al_kkbr5tfh5" Type="http://schemas.openxmlformats.org/officeDocument/2006/relationships/hyperlink" Target="https://lawphil.net/statutes/repacts/ra1949/ra_386_1949.html" TargetMode="External"/><Relationship Id="rId5s8u5lzk67niei_bmfgwd" Type="http://schemas.openxmlformats.org/officeDocument/2006/relationships/hyperlink" Target="https://lawphil.net/statutes/repacts/ra2017/ra_10963_2017.html" TargetMode="External"/><Relationship Id="rIdwxrvidodv61txk8jzhuyo" Type="http://schemas.openxmlformats.org/officeDocument/2006/relationships/hyperlink" Target="https://lawphil.net/statutes/repacts/ra2004/ra_9262_2004.html" TargetMode="External"/><Relationship Id="rIdhpxuxtrb7y0nzqduionfi" Type="http://schemas.openxmlformats.org/officeDocument/2006/relationships/hyperlink" Target="https://sc.judiciary.gov.ph/wp-content/uploads/2022/08/02-08-13-SC-1.pdf" TargetMode="External"/><Relationship Id="rIdcdrmevvq3ivk4s_cefu5k" Type="http://schemas.openxmlformats.org/officeDocument/2006/relationships/hyperlink" Target="https://sc.judiciary.gov.ph/24-10-14-sc-rules-on-electronic-notarization/"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SUPPORT UNDERTAKING</dc:title>
  <dc:creator>LAW.PH</dc:creator>
  <dc:description>Free sample of the Family Support Undertaking from LAW.PH, with fictional details</dc:description>
  <cp:lastModifiedBy>Un-named</cp:lastModifiedBy>
  <cp:revision>1</cp:revision>
  <dcterms:created xsi:type="dcterms:W3CDTF">2026-10-02T05:29:58.299Z</dcterms:created>
  <dcterms:modified xsi:type="dcterms:W3CDTF">2026-10-02T05:29:58.299Z</dcterms:modified>
</cp:coreProperties>
</file>

<file path=docProps/custom.xml><?xml version="1.0" encoding="utf-8"?>
<Properties xmlns="http://schemas.openxmlformats.org/officeDocument/2006/custom-properties" xmlns:vt="http://schemas.openxmlformats.org/officeDocument/2006/docPropsVTypes"/>
</file>