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DEED OF ABSOLUTE SALE OF MOTOR VEHICLE</w:t>
      </w:r>
    </w:p>
    <w:p>
      <w:pPr>
        <w:spacing w:after="160"/>
        <w:jc w:val="center"/>
      </w:pPr>
      <w:r>
        <w:rPr>
          <w:rFonts w:ascii="Calibri" w:cs="Calibri" w:eastAsia="Calibri" w:hAnsi="Calibri"/>
          <w:color w:val="566674"/>
          <w:sz w:val="18"/>
          <w:szCs w:val="18"/>
        </w:rPr>
        <w:t xml:space="preserve">Republic of the Philippines · standard private vehicle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lawyer review pending</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MAKATI CITY ) S.S.</w:t>
      </w:r>
    </w:p>
    <w:p>
      <w:pPr>
        <w:pStyle w:val="Heading2"/>
        <w:keepNext/>
        <w:spacing w:after="120" w:before="240"/>
      </w:pPr>
      <w:r>
        <w:rPr>
          <w:rFonts w:ascii="Calibri" w:cs="Calibri" w:eastAsia="Calibri" w:hAnsi="Calibri"/>
          <w:b/>
          <w:bCs/>
          <w:color w:val="102B3F"/>
          <w:sz w:val="26"/>
          <w:szCs w:val="26"/>
        </w:rPr>
        <w:t xml:space="preserve">PARTIES AND PURPOSE</w:t>
      </w:r>
    </w:p>
    <w:p>
      <w:pPr>
        <w:keepLines/>
        <w:spacing w:after="120" w:line="264"/>
        <w:jc w:val="both"/>
      </w:pPr>
      <w:r>
        <w:rPr>
          <w:rFonts w:ascii="Calibri" w:cs="Calibri" w:eastAsia="Calibri" w:hAnsi="Calibri"/>
          <w:sz w:val="22"/>
          <w:szCs w:val="22"/>
        </w:rPr>
        <w:t xml:space="preserve">This DEED OF ABSOLUTE SALE OF MOTOR VEHICLE is made on August 30, 2026 by Maria Elena Santos, Filipino citizen, of legal age, single, and residing at 100 Ayala Avenue, Makati City 1226 (the “Seller”) in favor of Roberto Dela Cruz, Filipino citizen, of legal age, single, and residing at 18 Jupiter Street, Makati City 1209 (the “Buyer”).</w:t>
      </w:r>
    </w:p>
    <w:p>
      <w:pPr>
        <w:keepLines/>
        <w:spacing w:after="120" w:line="264"/>
        <w:jc w:val="both"/>
      </w:pPr>
      <w:r>
        <w:rPr>
          <w:rFonts w:ascii="Calibri" w:cs="Calibri" w:eastAsia="Calibri" w:hAnsi="Calibri"/>
          <w:sz w:val="22"/>
          <w:szCs w:val="22"/>
        </w:rPr>
        <w:t xml:space="preserve">The parties identify each other completely in this Deed. No name, price, date, vehicle identifier, signature, or acknowledgment is intentionally left blank for a later buyer, resale, or so-called open deed.</w:t>
      </w:r>
    </w:p>
    <w:p>
      <w:pPr>
        <w:pStyle w:val="Heading2"/>
        <w:keepNext/>
        <w:spacing w:after="120" w:before="240"/>
      </w:pPr>
      <w:r>
        <w:rPr>
          <w:rFonts w:ascii="Calibri" w:cs="Calibri" w:eastAsia="Calibri" w:hAnsi="Calibri"/>
          <w:b/>
          <w:bCs/>
          <w:color w:val="102B3F"/>
          <w:sz w:val="26"/>
          <w:szCs w:val="26"/>
        </w:rPr>
        <w:t xml:space="preserve">VEHICLE</w:t>
      </w:r>
    </w:p>
    <w:p>
      <w:pPr>
        <w:keepLines/>
        <w:spacing w:after="120" w:line="264"/>
        <w:jc w:val="both"/>
      </w:pPr>
      <w:r>
        <w:rPr>
          <w:rFonts w:ascii="Calibri" w:cs="Calibri" w:eastAsia="Calibri" w:hAnsi="Calibri"/>
          <w:sz w:val="22"/>
          <w:szCs w:val="22"/>
        </w:rPr>
        <w:t xml:space="preserve">Type: car · Make: Toyota · Series/Model: Vios 1.3 XLE CVT · Body type: Sedan · Year model: 2022 · Color: Silver Metallic.</w:t>
      </w:r>
    </w:p>
    <w:p>
      <w:pPr>
        <w:keepLines/>
        <w:spacing w:after="120" w:line="264"/>
        <w:jc w:val="both"/>
      </w:pPr>
      <w:r>
        <w:rPr>
          <w:rFonts w:ascii="Calibri" w:cs="Calibri" w:eastAsia="Calibri" w:hAnsi="Calibri"/>
          <w:sz w:val="22"/>
          <w:szCs w:val="22"/>
        </w:rPr>
        <w:t xml:space="preserve">Plate/official reference: ABC 1234 · MV file no.: 1301-00000123456 · Engine no.: 1NRX123456 · Chassis/VIN no.: NCP150-1234567.</w:t>
      </w:r>
    </w:p>
    <w:p>
      <w:pPr>
        <w:keepLines/>
        <w:spacing w:after="120" w:line="264"/>
        <w:jc w:val="both"/>
      </w:pPr>
      <w:r>
        <w:rPr>
          <w:rFonts w:ascii="Calibri" w:cs="Calibri" w:eastAsia="Calibri" w:hAnsi="Calibri"/>
          <w:sz w:val="22"/>
          <w:szCs w:val="22"/>
        </w:rPr>
        <w:t xml:space="preserve">CR no.: CR-2022-001234 · Latest OR no.: OR-2026-009876 · Registration status: current · Expiry/due date: March 15, 2027 · Record office: LTO Makati District Office.</w:t>
      </w:r>
    </w:p>
    <w:p>
      <w:pPr>
        <w:keepLines/>
        <w:spacing w:after="120" w:line="264"/>
        <w:jc w:val="both"/>
      </w:pPr>
      <w:r>
        <w:rPr>
          <w:rFonts w:ascii="Calibri" w:cs="Calibri" w:eastAsia="Calibri" w:hAnsi="Calibri"/>
          <w:sz w:val="22"/>
          <w:szCs w:val="22"/>
        </w:rPr>
        <w:t xml:space="preserve">Odometer disclosure: 42,850 km, represented by the Seller as believed actual after reasonable records review.</w:t>
      </w:r>
    </w:p>
    <w:p>
      <w:pPr>
        <w:pStyle w:val="Heading2"/>
        <w:keepNext/>
        <w:spacing w:after="120" w:before="240"/>
      </w:pPr>
      <w:r>
        <w:rPr>
          <w:rFonts w:ascii="Calibri" w:cs="Calibri" w:eastAsia="Calibri" w:hAnsi="Calibri"/>
          <w:b/>
          <w:bCs/>
          <w:color w:val="102B3F"/>
          <w:sz w:val="26"/>
          <w:szCs w:val="26"/>
        </w:rPr>
        <w:t xml:space="preserve">ABSOLUTE SALE, PRICE, AND RECEIPT</w:t>
      </w:r>
    </w:p>
    <w:p>
      <w:pPr>
        <w:keepLines/>
        <w:spacing w:after="120" w:line="264"/>
        <w:jc w:val="both"/>
      </w:pPr>
      <w:r>
        <w:rPr>
          <w:rFonts w:ascii="Calibri" w:cs="Calibri" w:eastAsia="Calibri" w:hAnsi="Calibri"/>
          <w:sz w:val="22"/>
          <w:szCs w:val="22"/>
        </w:rPr>
        <w:t xml:space="preserve">For the total price of PHP 520,000.00, received in full in cleared funds simultaneously with execution through Bank transfer to the Seller's verified account in immediately available funds, reference Manager's Check No. MC-123456, the Seller absolutely sells, assigns, transfers, and delivers the identified Vehicle to the Buyer, and the Buyer accepts it subject to this Deed.</w:t>
      </w:r>
    </w:p>
    <w:p>
      <w:pPr>
        <w:keepLines/>
        <w:spacing w:after="120" w:line="264"/>
        <w:jc w:val="both"/>
      </w:pPr>
      <w:r>
        <w:rPr>
          <w:rFonts w:ascii="Calibri" w:cs="Calibri" w:eastAsia="Calibri" w:hAnsi="Calibri"/>
          <w:sz w:val="22"/>
          <w:szCs w:val="22"/>
        </w:rPr>
        <w:t xml:space="preserve">Payment evidence: Seller will issue a signed acknowledgment receipt stating the full amount and traceable payment reference. No installment, balance, retention of title, blank consideration, or undisclosed side payment is part of this absolute-sale route.</w:t>
      </w:r>
    </w:p>
    <w:p>
      <w:pPr>
        <w:pStyle w:val="Heading2"/>
        <w:keepNext/>
        <w:spacing w:after="120" w:before="240"/>
      </w:pPr>
      <w:r>
        <w:rPr>
          <w:rFonts w:ascii="Calibri" w:cs="Calibri" w:eastAsia="Calibri" w:hAnsi="Calibri"/>
          <w:b/>
          <w:bCs/>
          <w:color w:val="102B3F"/>
          <w:sz w:val="26"/>
          <w:szCs w:val="26"/>
        </w:rPr>
        <w:t xml:space="preserve">TITLE, AUTHORITY, AND RECORD WARRANTIES</w:t>
      </w:r>
    </w:p>
    <w:p>
      <w:pPr>
        <w:keepLines/>
        <w:spacing w:after="120" w:line="264"/>
        <w:jc w:val="both"/>
      </w:pPr>
      <w:r>
        <w:rPr>
          <w:rFonts w:ascii="Calibri" w:cs="Calibri" w:eastAsia="Calibri" w:hAnsi="Calibri"/>
          <w:sz w:val="22"/>
          <w:szCs w:val="22"/>
        </w:rPr>
        <w:t xml:space="preserve">The Seller represents that Purchased new from an authorized Toyota dealer under Sales Invoice SI-2022-1234 and continuously registered in the Seller's name; the Seller's name matches the current CR and the Seller has present authority to transfer the Vehicle. The Vehicle is represented as the Seller's separate property.</w:t>
      </w:r>
    </w:p>
    <w:p>
      <w:pPr>
        <w:keepLines/>
        <w:spacing w:after="120" w:line="264"/>
        <w:jc w:val="both"/>
      </w:pPr>
      <w:r>
        <w:rPr>
          <w:rFonts w:ascii="Calibri" w:cs="Calibri" w:eastAsia="Calibri" w:hAnsi="Calibri"/>
          <w:sz w:val="22"/>
          <w:szCs w:val="22"/>
        </w:rPr>
        <w:t xml:space="preserve">The Seller represents that no chattel mortgage, CR/CRE annotation, PPSR notice, attachment, levy, lease, adverse claim, or other encumbrance is shown on the reviewed records or otherwise known after reasonable inquiry.</w:t>
      </w:r>
    </w:p>
    <w:p>
      <w:pPr>
        <w:keepLines/>
        <w:spacing w:after="120" w:line="264"/>
        <w:jc w:val="both"/>
      </w:pPr>
      <w:r>
        <w:rPr>
          <w:rFonts w:ascii="Calibri" w:cs="Calibri" w:eastAsia="Calibri" w:hAnsi="Calibri"/>
          <w:sz w:val="22"/>
          <w:szCs w:val="22"/>
        </w:rPr>
        <w:t xml:space="preserve">The physical engine and chassis/VIN numbers were compared with the CR and are represented as matching without unexplained alteration. No known LTO/PNP-HPG alarm, carnapping report, seizure, hold, duplicate registration, or unresolved ownership dispute exists. No special imported-vehicle record issue was disclosed.</w:t>
      </w:r>
    </w:p>
    <w:p>
      <w:pPr>
        <w:pStyle w:val="Heading2"/>
        <w:keepNext/>
        <w:spacing w:after="120" w:before="240"/>
      </w:pPr>
      <w:r>
        <w:rPr>
          <w:rFonts w:ascii="Calibri" w:cs="Calibri" w:eastAsia="Calibri" w:hAnsi="Calibri"/>
          <w:b/>
          <w:bCs/>
          <w:color w:val="102B3F"/>
          <w:sz w:val="26"/>
          <w:szCs w:val="26"/>
        </w:rPr>
        <w:t xml:space="preserve">CONDITION, DISCLOSURE, AND INSPECTION</w:t>
      </w:r>
    </w:p>
    <w:p>
      <w:pPr>
        <w:keepLines/>
        <w:spacing w:after="120" w:line="264"/>
        <w:jc w:val="both"/>
      </w:pPr>
      <w:r>
        <w:rPr>
          <w:rFonts w:ascii="Calibri" w:cs="Calibri" w:eastAsia="Calibri" w:hAnsi="Calibri"/>
          <w:sz w:val="22"/>
          <w:szCs w:val="22"/>
        </w:rPr>
        <w:t xml:space="preserve">Present condition: Used and operational, with normal cosmetic wear; engine, transmission, brakes, lights, tires, air-conditioning, safety systems, body, and interior inspected before signing</w:t>
      </w:r>
    </w:p>
    <w:p>
      <w:pPr>
        <w:keepLines/>
        <w:spacing w:after="120" w:line="264"/>
        <w:jc w:val="both"/>
      </w:pPr>
      <w:r>
        <w:rPr>
          <w:rFonts w:ascii="Calibri" w:cs="Calibri" w:eastAsia="Calibri" w:hAnsi="Calibri"/>
          <w:sz w:val="22"/>
          <w:szCs w:val="22"/>
        </w:rPr>
        <w:t xml:space="preserve">Known defects and limitations: Minor paint scratch on the right rear door and no other defect known after reasonable inquiry Accident/structural history: No accident or structural repair known to the Seller after review of maintenance and insurance records Flood/submersion history: No flood or submersion history known to the Seller after reasonable inquiry Modifications: No material modification from the registered and manufacturer configuration known to the Seller</w:t>
      </w:r>
    </w:p>
    <w:p>
      <w:pPr>
        <w:keepLines/>
        <w:spacing w:after="120" w:line="264"/>
        <w:jc w:val="both"/>
      </w:pPr>
      <w:r>
        <w:rPr>
          <w:rFonts w:ascii="Calibri" w:cs="Calibri" w:eastAsia="Calibri" w:hAnsi="Calibri"/>
          <w:sz w:val="22"/>
          <w:szCs w:val="22"/>
        </w:rPr>
        <w:t xml:space="preserve">Inspection: buyer inspected; road test: completed. The Buyer accepts visible and specifically disclosed condition after the stated opportunity to inspect. Nothing in this Deed excuses fraud, concealment, bad faith, lack of title, an undisclosed encumbrance, or a mandatory warranty or consumer remedy.</w:t>
      </w:r>
    </w:p>
    <w:p>
      <w:pPr>
        <w:keepLines/>
        <w:spacing w:after="120" w:line="264"/>
        <w:jc w:val="both"/>
      </w:pPr>
      <w:r>
        <w:rPr>
          <w:rFonts w:ascii="Calibri" w:cs="Calibri" w:eastAsia="Calibri" w:hAnsi="Calibri"/>
          <w:sz w:val="22"/>
          <w:szCs w:val="22"/>
        </w:rPr>
        <w:t xml:space="preserve">No additional voluntary mechanical warranty is given beyond the Seller's express factual statements and rights or warranties that applicable law does not validly exclude.</w:t>
      </w:r>
    </w:p>
    <w:p>
      <w:pPr>
        <w:pStyle w:val="Heading2"/>
        <w:keepNext/>
        <w:spacing w:after="120" w:before="240"/>
      </w:pPr>
      <w:r>
        <w:rPr>
          <w:rFonts w:ascii="Calibri" w:cs="Calibri" w:eastAsia="Calibri" w:hAnsi="Calibri"/>
          <w:b/>
          <w:bCs/>
          <w:color w:val="102B3F"/>
          <w:sz w:val="26"/>
          <w:szCs w:val="26"/>
        </w:rPr>
        <w:t xml:space="preserve">TURNOVER, CUSTODY, AND RISK</w:t>
      </w:r>
    </w:p>
    <w:p>
      <w:pPr>
        <w:keepLines/>
        <w:spacing w:after="120" w:line="264"/>
        <w:jc w:val="both"/>
      </w:pPr>
      <w:r>
        <w:rPr>
          <w:rFonts w:ascii="Calibri" w:cs="Calibri" w:eastAsia="Calibri" w:hAnsi="Calibri"/>
          <w:sz w:val="22"/>
          <w:szCs w:val="22"/>
        </w:rPr>
        <w:t xml:space="preserve">Operational custody occurs simultaneously with signing and cleared payment on August 30, 2026 at Seller's residence at 100 Ayala Avenue, Makati City, after full cleared payment and completion of the agreed inspection. The Seller delivers 2 key(s)/remote(s) and these included items: Two keys, installed license plates, standard tools, and all loose accessories shown during inspection.</w:t>
      </w:r>
    </w:p>
    <w:p>
      <w:pPr>
        <w:keepLines/>
        <w:spacing w:after="120" w:line="264"/>
        <w:jc w:val="both"/>
      </w:pPr>
      <w:r>
        <w:rPr>
          <w:rFonts w:ascii="Calibri" w:cs="Calibri" w:eastAsia="Calibri" w:hAnsi="Calibri"/>
          <w:sz w:val="22"/>
          <w:szCs w:val="22"/>
        </w:rPr>
        <w:t xml:space="preserve">The Seller delivers the original Certificate of Registration (or CRE) and the latest Official Receipt of registration to the Buyer at turnover.</w:t>
      </w:r>
    </w:p>
    <w:p>
      <w:pPr>
        <w:keepLines/>
        <w:spacing w:after="120" w:line="264"/>
        <w:jc w:val="both"/>
      </w:pPr>
      <w:r>
        <w:rPr>
          <w:rFonts w:ascii="Calibri" w:cs="Calibri" w:eastAsia="Calibri" w:hAnsi="Calibri"/>
          <w:sz w:val="22"/>
          <w:szCs w:val="22"/>
        </w:rPr>
        <w:t xml:space="preserve">Between the parties, ordinary risk, safekeeping, traffic compliance, insurance responsibility, and operating costs pass to the Buyer upon documented physical turnover, except for loss caused by the Seller's breach or an undisclosed pre-turnover condition. This private allocation does not bind injured third persons or eliminate the public registered-owner rule.</w:t>
      </w:r>
    </w:p>
    <w:p>
      <w:pPr>
        <w:pStyle w:val="Heading2"/>
        <w:keepNext/>
        <w:spacing w:after="120" w:before="240"/>
      </w:pPr>
      <w:r>
        <w:rPr>
          <w:rFonts w:ascii="Calibri" w:cs="Calibri" w:eastAsia="Calibri" w:hAnsi="Calibri"/>
          <w:b/>
          <w:bCs/>
          <w:color w:val="102B3F"/>
          <w:sz w:val="26"/>
          <w:szCs w:val="26"/>
        </w:rPr>
        <w:t xml:space="preserve">LTO AND PNP-HPG TRANSFER</w:t>
      </w:r>
    </w:p>
    <w:p>
      <w:pPr>
        <w:keepLines/>
        <w:spacing w:after="120" w:line="264"/>
        <w:jc w:val="both"/>
      </w:pPr>
      <w:r>
        <w:rPr>
          <w:rFonts w:ascii="Calibri" w:cs="Calibri" w:eastAsia="Calibri" w:hAnsi="Calibri"/>
          <w:sz w:val="22"/>
          <w:szCs w:val="22"/>
        </w:rPr>
        <w:t xml:space="preserve">The Buyer shall promptly register the transfer through LTO Makati District Office, subject to written jurisdiction confirmation and the proper PNP-HPG process, using the current official requirements. Planned records include: original current CR/CRE, latest registration OR, 4 complete original notarized deeds, acceptable photo/signature IDs of both parties, PNP-HPG clearance for transfer, MVIR or accepted inspection report, electronically transmitted insurance COC if required.</w:t>
      </w:r>
    </w:p>
    <w:p>
      <w:pPr>
        <w:keepLines/>
        <w:spacing w:after="120" w:line="264"/>
        <w:jc w:val="both"/>
      </w:pPr>
      <w:r>
        <w:rPr>
          <w:rFonts w:ascii="Calibri" w:cs="Calibri" w:eastAsia="Calibri" w:hAnsi="Calibri"/>
          <w:sz w:val="22"/>
          <w:szCs w:val="22"/>
        </w:rPr>
        <w:t xml:space="preserve">Under Section 8 of Republic Act No. 10883, the sale, transfer, or conveyance must be registered with LTO within twenty working days after purchase/acquisition. The parties will not treat this Deed alone as completion of the LTO transfer.</w:t>
      </w:r>
    </w:p>
    <w:p>
      <w:pPr>
        <w:keepLines/>
        <w:spacing w:after="120" w:line="264"/>
        <w:jc w:val="both"/>
      </w:pPr>
      <w:r>
        <w:rPr>
          <w:rFonts w:ascii="Calibri" w:cs="Calibri" w:eastAsia="Calibri" w:hAnsi="Calibri"/>
          <w:sz w:val="22"/>
          <w:szCs w:val="22"/>
        </w:rPr>
        <w:t xml:space="preserve">Official transfer, HPG, inspection, registration, insurance, and related charges are borne by the buyer. Each party shall promptly provide genuine signatures, IDs, authority records, confirmations, and reasonable cooperation required for the lawful transfer.</w:t>
      </w:r>
    </w:p>
    <w:p>
      <w:pPr>
        <w:keepLines/>
        <w:spacing w:after="120" w:line="264"/>
        <w:jc w:val="both"/>
      </w:pPr>
      <w:r>
        <w:rPr>
          <w:rFonts w:ascii="Calibri" w:cs="Calibri" w:eastAsia="Calibri" w:hAnsi="Calibri"/>
          <w:sz w:val="22"/>
          <w:szCs w:val="22"/>
        </w:rPr>
        <w:t xml:space="preserve">Until the LTO record is changed, the Seller may remain exposed to investigation or civil claims under the registered-owner rule. Any indemnity between the parties does not defeat rights of the public or third persons. The Buyer shall not operate, resell, encumber, alter identifiers, or represent the Vehicle as registered in the Buyer's name contrary to current law and records.</w:t>
      </w:r>
    </w:p>
    <w:p>
      <w:pPr>
        <w:pStyle w:val="Heading2"/>
        <w:keepNext/>
        <w:spacing w:after="120" w:before="240"/>
      </w:pPr>
      <w:r>
        <w:rPr>
          <w:rFonts w:ascii="Calibri" w:cs="Calibri" w:eastAsia="Calibri" w:hAnsi="Calibri"/>
          <w:b/>
          <w:bCs/>
          <w:color w:val="102B3F"/>
          <w:sz w:val="26"/>
          <w:szCs w:val="26"/>
        </w:rPr>
        <w:t xml:space="preserve">GENERAL TERMS</w:t>
      </w:r>
    </w:p>
    <w:p>
      <w:pPr>
        <w:keepLines/>
        <w:spacing w:after="120" w:line="264"/>
        <w:jc w:val="both"/>
      </w:pPr>
      <w:r>
        <w:rPr>
          <w:rFonts w:ascii="Calibri" w:cs="Calibri" w:eastAsia="Calibri" w:hAnsi="Calibri"/>
          <w:sz w:val="22"/>
          <w:szCs w:val="22"/>
        </w:rPr>
        <w:t xml:space="preserve">Entire agreement and special terms: this Deed, its genuine attachments, and these additional terms form the complete agreement: [NONE]. A change must be in a written instrument signed by the affected parties and must not facilitate a blank or open deed.</w:t>
      </w:r>
    </w:p>
    <w:p>
      <w:pPr>
        <w:keepLines/>
        <w:spacing w:after="120" w:line="264"/>
        <w:jc w:val="both"/>
      </w:pPr>
      <w:r>
        <w:rPr>
          <w:rFonts w:ascii="Calibri" w:cs="Calibri" w:eastAsia="Calibri" w:hAnsi="Calibri"/>
          <w:sz w:val="22"/>
          <w:szCs w:val="22"/>
        </w:rPr>
        <w:t xml:space="preserve">If a lawful provision is unenforceable, it is limited to the minimum extent necessary without validating an unlawful transfer. Philippine law governs, subject to mandatory LTO, PNP-HPG, registration, consumer, family-property, tax, and public-safety rules.</w:t>
      </w:r>
    </w:p>
    <w:p>
      <w:pPr>
        <w:keepNext/>
        <w:spacing w:after="260" w:before="360"/>
      </w:pPr>
      <w:r>
        <w:rPr>
          <w:rFonts w:ascii="Calibri" w:cs="Calibri" w:eastAsia="Calibri" w:hAnsi="Calibri"/>
          <w:b/>
          <w:bCs/>
          <w:sz w:val="22"/>
          <w:szCs w:val="22"/>
        </w:rPr>
        <w:t xml:space="preserve">IN WITNESS WHEREOF, the parties shall sign this complete Deed on August 30, 2026 at Makati City, Philippines, and acknowledge it before the authorized notarial officer.</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Elena Santos</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Seller / Registered owner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Roberto Dela Cruz</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Buyer / Intended registered transferee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AUTHORIZED NOTARIAL OFFICER TO COMPLETE</w:t>
      </w:r>
    </w:p>
    <w:p>
      <w:pPr>
        <w:keepLines/>
        <w:spacing w:after="120" w:line="264"/>
        <w:jc w:val="both"/>
      </w:pPr>
      <w:r>
        <w:rPr>
          <w:rFonts w:ascii="Calibri" w:cs="Calibri" w:eastAsia="Calibri" w:hAnsi="Calibri"/>
          <w:sz w:val="22"/>
          <w:szCs w:val="22"/>
        </w:rPr>
        <w:t xml:space="preserve">BEFORE ME, a Notary Public for and in Makati City, Philippines, on __________________, personally appeared Maria Elena Santos, Roberto Dela Cruz, identified through the Seller/signatory ID (Current government-issued photo ID) and Buyer/signatory ID (Current government-issued photo ID), with numbers, issue details, and validity recorded by me, and acknowledged this complete Deed of Absolute Sale of Motor Vehicle as their free and voluntary act and deed and, where applicable, the act and deed of the represented entity or principal.</w:t>
      </w:r>
    </w:p>
    <w:p>
      <w:pPr>
        <w:keepLines/>
        <w:spacing w:after="120" w:line="264"/>
        <w:jc w:val="both"/>
      </w:pPr>
      <w:r>
        <w:rPr>
          <w:rFonts w:ascii="Calibri" w:cs="Calibri" w:eastAsia="Calibri" w:hAnsi="Calibri"/>
          <w:sz w:val="22"/>
          <w:szCs w:val="22"/>
        </w:rPr>
        <w:t xml:space="preserve">NOTARY PUBLIC
Notary Public for __________________ until December 31, ______
Commission No.: __________________
PTR / IBP / Roll details: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Do not sign or notarize with a blank buyer, price, date, engine/chassis number, CR/OR reference, signature page, or acknowledgment. Never circulate an open deed for later resale.</w:t>
      </w:r>
    </w:p>
    <w:p>
      <w:pPr>
        <w:pStyle w:val="ListParagraph"/>
        <w:keepNext/>
        <w:numPr>
          <w:ilvl w:val="0"/>
          <w:numId w:val="1"/>
        </w:numPr>
        <w:spacing w:after="120" w:line="264"/>
      </w:pPr>
      <w:r>
        <w:rPr>
          <w:rFonts w:ascii="Calibri" w:cs="Calibri" w:eastAsia="Calibri" w:hAnsi="Calibri"/>
          <w:sz w:val="22"/>
          <w:szCs w:val="22"/>
        </w:rPr>
        <w:t xml:space="preserve">Search the LRA Personal Property Security Registry (PPSR) for security interests registered against the Seller and the Vehicle; since RA 11057, a chattel mortgage or security interest is perfected by PPSR registration, so the CR annotation alone is not enough.</w:t>
      </w:r>
    </w:p>
    <w:p>
      <w:pPr>
        <w:pStyle w:val="ListParagraph"/>
        <w:keepNext/>
        <w:numPr>
          <w:ilvl w:val="0"/>
          <w:numId w:val="1"/>
        </w:numPr>
        <w:spacing w:after="120" w:line="264"/>
      </w:pPr>
      <w:r>
        <w:rPr>
          <w:rFonts w:ascii="Calibri" w:cs="Calibri" w:eastAsia="Calibri" w:hAnsi="Calibri"/>
          <w:sz w:val="22"/>
          <w:szCs w:val="22"/>
        </w:rPr>
        <w:t xml:space="preserve">LTO Administrative Order No. VDM-2024-046 (anti-open-deed rules) and its penalties were reported held in abeyance on 23 October 2024 pending amendment. Check with LTO whether it has since been amended or reinstated before relying on it.</w:t>
      </w:r>
    </w:p>
    <w:p>
      <w:pPr>
        <w:pStyle w:val="ListParagraph"/>
        <w:keepNext/>
        <w:numPr>
          <w:ilvl w:val="0"/>
          <w:numId w:val="1"/>
        </w:numPr>
        <w:spacing w:after="120" w:line="264"/>
      </w:pPr>
      <w:r>
        <w:rPr>
          <w:rFonts w:ascii="Calibri" w:cs="Calibri" w:eastAsia="Calibri" w:hAnsi="Calibri"/>
          <w:sz w:val="22"/>
          <w:szCs w:val="22"/>
        </w:rPr>
        <w:t xml:space="preserve">Before payment, compare the current original CR/CRE and latest OR with LTO records, the registered owner, seller authority, plate, MV file, engine, chassis/VIN, classification, annotations, registration status, and physical vehicle. Stop for any mismatch, erasure, restamping, duplicate identity, alarm, hold, or ownership dispute.</w:t>
      </w:r>
    </w:p>
    <w:p>
      <w:pPr>
        <w:pStyle w:val="ListParagraph"/>
        <w:keepNext/>
        <w:numPr>
          <w:ilvl w:val="0"/>
          <w:numId w:val="1"/>
        </w:numPr>
        <w:spacing w:after="120" w:line="264"/>
      </w:pPr>
      <w:r>
        <w:rPr>
          <w:rFonts w:ascii="Calibri" w:cs="Calibri" w:eastAsia="Calibri" w:hAnsi="Calibri"/>
          <w:sz w:val="22"/>
          <w:szCs w:val="22"/>
        </w:rPr>
        <w:t xml:space="preserve">Obtain the current written checklists from the intended LTO office and PNP-HPG unit. Confirm which office must issue CR confirmation, where macro-etching/clearance and inspection occur, document validity periods, insurance transmission, original-copy count, IDs, signatures, and authority attachments.</w:t>
      </w:r>
    </w:p>
    <w:p>
      <w:pPr>
        <w:pStyle w:val="ListParagraph"/>
        <w:keepNext/>
        <w:numPr>
          <w:ilvl w:val="0"/>
          <w:numId w:val="1"/>
        </w:numPr>
        <w:spacing w:after="120" w:line="264"/>
      </w:pPr>
      <w:r>
        <w:rPr>
          <w:rFonts w:ascii="Calibri" w:cs="Calibri" w:eastAsia="Calibri" w:hAnsi="Calibri"/>
          <w:sz w:val="22"/>
          <w:szCs w:val="22"/>
        </w:rPr>
        <w:t xml:space="preserve">Use a traceable payment method, verify the recipient account independently, and exchange cleared funds, keys, vehicle, signed receipt/invoice, and records only under the agreed simultaneous closing sequence. Do not rely on a screenshot of a pending transfer.</w:t>
      </w:r>
    </w:p>
    <w:p>
      <w:pPr>
        <w:pStyle w:val="ListParagraph"/>
        <w:keepNext/>
        <w:numPr>
          <w:ilvl w:val="0"/>
          <w:numId w:val="1"/>
        </w:numPr>
        <w:spacing w:after="120" w:line="264"/>
      </w:pPr>
      <w:r>
        <w:rPr>
          <w:rFonts w:ascii="Calibri" w:cs="Calibri" w:eastAsia="Calibri" w:hAnsi="Calibri"/>
          <w:sz w:val="22"/>
          <w:szCs w:val="22"/>
        </w:rPr>
        <w:t xml:space="preserve">Do not pre-sign. Every required signatory must bring the complete paper deed and acceptable original photo ID, appear before a duly commissioned notary within the notary's territorial authority, and acknowledge the complete instrument.</w:t>
      </w:r>
    </w:p>
    <w:p>
      <w:pPr>
        <w:pStyle w:val="ListParagraph"/>
        <w:keepNext/>
        <w:numPr>
          <w:ilvl w:val="0"/>
          <w:numId w:val="1"/>
        </w:numPr>
        <w:spacing w:after="120" w:line="264"/>
      </w:pPr>
      <w:r>
        <w:rPr>
          <w:rFonts w:ascii="Calibri" w:cs="Calibri" w:eastAsia="Calibri" w:hAnsi="Calibri"/>
          <w:sz w:val="22"/>
          <w:szCs w:val="22"/>
        </w:rPr>
        <w:t xml:space="preserve">The notarial officer alone completes the acknowledgment, seal, commission, register, document/page/book/series numbers, date, venue, and identity findings. Never backdate or alter them to create a false deadline or transaction history.</w:t>
      </w:r>
    </w:p>
    <w:p>
      <w:pPr>
        <w:pStyle w:val="ListParagraph"/>
        <w:keepNext/>
        <w:numPr>
          <w:ilvl w:val="0"/>
          <w:numId w:val="1"/>
        </w:numPr>
        <w:spacing w:after="120" w:line="264"/>
      </w:pPr>
      <w:r>
        <w:rPr>
          <w:rFonts w:ascii="Calibri" w:cs="Calibri" w:eastAsia="Calibri" w:hAnsi="Calibri"/>
          <w:sz w:val="22"/>
          <w:szCs w:val="22"/>
        </w:rPr>
        <w:t xml:space="preserve">Prepare a signed turnover record with date/time, location, odometer display, photos of all sides and identifiers, keys/items, fuel level, defects, payment reference, and possession. Preserve inspection, HPG, LTO, insurance, communication, and release records.</w:t>
      </w:r>
    </w:p>
    <w:p>
      <w:pPr>
        <w:pStyle w:val="ListParagraph"/>
        <w:keepNext w:val="false"/>
        <w:numPr>
          <w:ilvl w:val="0"/>
          <w:numId w:val="1"/>
        </w:numPr>
        <w:spacing w:after="120" w:line="264"/>
      </w:pPr>
      <w:r>
        <w:rPr>
          <w:rFonts w:ascii="Calibri" w:cs="Calibri" w:eastAsia="Calibri" w:hAnsi="Calibri"/>
          <w:sz w:val="22"/>
          <w:szCs w:val="22"/>
        </w:rPr>
        <w:t xml:space="preserve">The Buyer should secure appropriate insurance and lawful registration before operation. Both parties should track the LTO transfer to completion and obtain the new CR; a filed deed or private indemnity does not by itself change the public record.</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Engineering draft · independent Philippine lawyer review pending | Last legal check 2026-10-01 | Next review due 2026-11-30</w:t>
      </w:r>
    </w:p>
    <w:p>
      <w:pPr>
        <w:keepNext/>
        <w:spacing w:after="60" w:before="100"/>
      </w:pPr>
      <w:r>
        <w:rPr>
          <w:rFonts w:ascii="Calibri" w:cs="Calibri" w:eastAsia="Calibri" w:hAnsi="Calibri"/>
          <w:b/>
          <w:bCs/>
          <w:sz w:val="18"/>
          <w:szCs w:val="18"/>
        </w:rPr>
        <w:t xml:space="preserve">Republic Act No. 386 — Civil Code - Arts. 1458–1505, 1545–1581, and related sale, delivery, title, eviction, and hidden-defect rules (checked 2026-08-30)</w:t>
      </w:r>
    </w:p>
    <w:p>
      <w:pPr>
        <w:spacing w:after="120"/>
      </w:pPr>
      <w:hyperlink w:history="1" r:id="rIdrhgiwgqimsv-dygw0wfda">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Republic Act No. 4136 — Land Transportation and Traffic Code - Sections 5, 7, 14–15 on LTO registration, CR, and transfer authority. Sec. 5(e) (LTO recording of encumbrances) was repealed by RA 11057 Sec. 66(f); search the PPSR for prior security interests (checked 2026-10-01)</w:t>
      </w:r>
    </w:p>
    <w:p>
      <w:pPr>
        <w:spacing w:after="120"/>
      </w:pPr>
      <w:hyperlink w:history="1" r:id="rIdhjsxicjjdqhypalvk0gfw">
        <w:r>
          <w:rPr>
            <w:rFonts w:ascii="Calibri" w:cs="Calibri" w:eastAsia="Calibri" w:hAnsi="Calibri"/>
            <w:color w:val="315B75"/>
            <w:sz w:val="17"/>
            <w:szCs w:val="17"/>
            <w:u w:val="single"/>
          </w:rPr>
          <w:t xml:space="preserve">https://lawphil.net/statutes/repacts/ra1964/ra_4136_1964.html</w:t>
        </w:r>
      </w:hyperlink>
    </w:p>
    <w:p>
      <w:pPr>
        <w:keepNext/>
        <w:spacing w:after="60" w:before="100"/>
      </w:pPr>
      <w:r>
        <w:rPr>
          <w:rFonts w:ascii="Calibri" w:cs="Calibri" w:eastAsia="Calibri" w:hAnsi="Calibri"/>
          <w:b/>
          <w:bCs/>
          <w:sz w:val="18"/>
          <w:szCs w:val="18"/>
        </w:rPr>
        <w:t xml:space="preserve">Personal Property Security Act (Republic Act No. 11057) - Sec. 12 (perfection by registration in the PPSR) and Sec. 66(f) (repeal of RA 4136 Sec. 5(e)); a buyer should search the PPSR, not only the CR annotation (checked 2026-10-01)</w:t>
      </w:r>
    </w:p>
    <w:p>
      <w:pPr>
        <w:spacing w:after="120"/>
      </w:pPr>
      <w:hyperlink w:history="1" r:id="rId58eox_o7pmfmtf24dxdc3">
        <w:r>
          <w:rPr>
            <w:rFonts w:ascii="Calibri" w:cs="Calibri" w:eastAsia="Calibri" w:hAnsi="Calibri"/>
            <w:color w:val="315B75"/>
            <w:sz w:val="17"/>
            <w:szCs w:val="17"/>
            <w:u w:val="single"/>
          </w:rPr>
          <w:t xml:space="preserve">https://lawphil.net/statutes/repacts/ra2018/ra_11057_2018.html</w:t>
        </w:r>
      </w:hyperlink>
    </w:p>
    <w:p>
      <w:pPr>
        <w:keepNext/>
        <w:spacing w:after="60" w:before="100"/>
      </w:pPr>
      <w:r>
        <w:rPr>
          <w:rFonts w:ascii="Calibri" w:cs="Calibri" w:eastAsia="Calibri" w:hAnsi="Calibri"/>
          <w:b/>
          <w:bCs/>
          <w:sz w:val="18"/>
          <w:szCs w:val="18"/>
        </w:rPr>
        <w:t xml:space="preserve">BIR Revenue Regulations No. 7-2024 - Sec. 6(A)(1): every person subject to internal revenue tax issues a registered invoice for each sale of PHP 500 or more; Sec. 6(B)(15): acknowledgment receipts are supplementary documents (checked 2026-10-01)</w:t>
      </w:r>
    </w:p>
    <w:p>
      <w:pPr>
        <w:spacing w:after="120"/>
      </w:pPr>
      <w:hyperlink w:history="1" r:id="rIdkcgx5dzjg-75whlit7c9h">
        <w:r>
          <w:rPr>
            <w:rFonts w:ascii="Calibri" w:cs="Calibri" w:eastAsia="Calibri" w:hAnsi="Calibri"/>
            <w:color w:val="315B75"/>
            <w:sz w:val="17"/>
            <w:szCs w:val="17"/>
            <w:u w:val="single"/>
          </w:rPr>
          <w:t xml:space="preserve">https://bir-cdn.bir.gov.ph/BIR/pdf/RR%20No.%207-%202024.pdf</w:t>
        </w:r>
      </w:hyperlink>
    </w:p>
    <w:p>
      <w:pPr>
        <w:keepNext/>
        <w:spacing w:after="60" w:before="100"/>
      </w:pPr>
      <w:r>
        <w:rPr>
          <w:rFonts w:ascii="Calibri" w:cs="Calibri" w:eastAsia="Calibri" w:hAnsi="Calibri"/>
          <w:b/>
          <w:bCs/>
          <w:sz w:val="18"/>
          <w:szCs w:val="18"/>
        </w:rPr>
        <w:t xml:space="preserve">Republic Act No. 10883 — New Anti-Carnapping Act - Section 8: LTO registration of a motor-vehicle sale, transfer, or conveyance within 20 working days (checked 2026-08-30)</w:t>
      </w:r>
    </w:p>
    <w:p>
      <w:pPr>
        <w:spacing w:after="120"/>
      </w:pPr>
      <w:hyperlink w:history="1" r:id="rIddjy3yfjxiont6tgi3ipwu">
        <w:r>
          <w:rPr>
            <w:rFonts w:ascii="Calibri" w:cs="Calibri" w:eastAsia="Calibri" w:hAnsi="Calibri"/>
            <w:color w:val="315B75"/>
            <w:sz w:val="17"/>
            <w:szCs w:val="17"/>
            <w:u w:val="single"/>
          </w:rPr>
          <w:t xml:space="preserve">https://elibrary.judiciary.gov.ph/thebookshelf/showdocs/2/70217</w:t>
        </w:r>
      </w:hyperlink>
    </w:p>
    <w:p>
      <w:pPr>
        <w:keepNext/>
        <w:spacing w:after="60" w:before="100"/>
      </w:pPr>
      <w:r>
        <w:rPr>
          <w:rFonts w:ascii="Calibri" w:cs="Calibri" w:eastAsia="Calibri" w:hAnsi="Calibri"/>
          <w:b/>
          <w:bCs/>
          <w:sz w:val="18"/>
          <w:szCs w:val="18"/>
        </w:rPr>
        <w:t xml:space="preserve">Republic Act No. 12209 - Motorcycle seller report within five working days and new-owner transfer within twenty working days (checked 2026-08-30)</w:t>
      </w:r>
    </w:p>
    <w:p>
      <w:pPr>
        <w:spacing w:after="120"/>
      </w:pPr>
      <w:hyperlink w:history="1" r:id="rIde4i47byjtlwaqje2w0sbd">
        <w:r>
          <w:rPr>
            <w:rFonts w:ascii="Calibri" w:cs="Calibri" w:eastAsia="Calibri" w:hAnsi="Calibri"/>
            <w:color w:val="315B75"/>
            <w:sz w:val="17"/>
            <w:szCs w:val="17"/>
            <w:u w:val="single"/>
          </w:rPr>
          <w:t xml:space="preserve">https://lawphil.net/statutes/repacts/ra2025/ra_12209_2025.html</w:t>
        </w:r>
      </w:hyperlink>
    </w:p>
    <w:p>
      <w:pPr>
        <w:keepNext/>
        <w:spacing w:after="60" w:before="100"/>
      </w:pPr>
      <w:r>
        <w:rPr>
          <w:rFonts w:ascii="Calibri" w:cs="Calibri" w:eastAsia="Calibri" w:hAnsi="Calibri"/>
          <w:b/>
          <w:bCs/>
          <w:sz w:val="18"/>
          <w:szCs w:val="18"/>
        </w:rPr>
        <w:t xml:space="preserve">LTO Citizen's Charter 2024 (Internet Archive copy of LTO's file) - §4.1 Transfer of Ownership, general requirements: original PNP-HPG Motor Vehicle Clearance, Motor Vehicle Inspection Report, electronically transmitted TPL insurance COC, IDs of vendor and vendee, original deed of sale, and board resolution/secretary's certificate for entities (checked 2026-10-01)</w:t>
      </w:r>
    </w:p>
    <w:p>
      <w:pPr>
        <w:spacing w:after="120"/>
      </w:pPr>
      <w:hyperlink w:history="1" r:id="rId1xzk0s1ks4xaxzuabbqvk">
        <w:r>
          <w:rPr>
            <w:rFonts w:ascii="Calibri" w:cs="Calibri" w:eastAsia="Calibri" w:hAnsi="Calibri"/>
            <w:color w:val="315B75"/>
            <w:sz w:val="17"/>
            <w:szCs w:val="17"/>
            <w:u w:val="single"/>
          </w:rPr>
          <w:t xml:space="preserve">https://web.archive.org/web/20241211043853/https://lto.gov.ph/wp-content/uploads/2024/05/LTO_CC_05-30-2024.pdf</w:t>
        </w:r>
      </w:hyperlink>
    </w:p>
    <w:p>
      <w:pPr>
        <w:keepNext/>
        <w:spacing w:after="60" w:before="100"/>
      </w:pPr>
      <w:r>
        <w:rPr>
          <w:rFonts w:ascii="Calibri" w:cs="Calibri" w:eastAsia="Calibri" w:hAnsi="Calibri"/>
          <w:b/>
          <w:bCs/>
          <w:sz w:val="18"/>
          <w:szCs w:val="18"/>
        </w:rPr>
        <w:t xml:space="preserve">LTO Administrative Order No. VDM-2024-046 - Anti-open-deed policy and proposed immediate-transfer process; implementation and penalties held in abeyance on 23 October 2024 pending amendment (checked 2026-08-30)</w:t>
      </w:r>
    </w:p>
    <w:p>
      <w:pPr>
        <w:spacing w:after="120"/>
      </w:pPr>
      <w:hyperlink w:history="1" r:id="rIdialevs3uudjvmayvwkawx">
        <w:r>
          <w:rPr>
            <w:rFonts w:ascii="Calibri" w:cs="Calibri" w:eastAsia="Calibri" w:hAnsi="Calibri"/>
            <w:color w:val="315B75"/>
            <w:sz w:val="17"/>
            <w:szCs w:val="17"/>
            <w:u w:val="single"/>
          </w:rPr>
          <w:t xml:space="preserve">https://lto.gov.ph/wp-content/uploads/2024/09/AO-VDM-2024-046.pdf</w:t>
        </w:r>
      </w:hyperlink>
    </w:p>
    <w:p>
      <w:pPr>
        <w:keepNext/>
        <w:spacing w:after="60" w:before="100"/>
      </w:pPr>
      <w:r>
        <w:rPr>
          <w:rFonts w:ascii="Calibri" w:cs="Calibri" w:eastAsia="Calibri" w:hAnsi="Calibri"/>
          <w:b/>
          <w:bCs/>
          <w:sz w:val="18"/>
          <w:szCs w:val="18"/>
        </w:rPr>
        <w:t xml:space="preserve">Executive Order No. 209 — Family Code - Arts. 75, 91–93, 96, 103, 109, 116, 124, and 130: property regimes, exclusive property, presumption of community or conjugal property, spouse's written consent to a disposition (otherwise void), and liquidation before disposition after the marriage ends (checked 2026-10-01)</w:t>
      </w:r>
    </w:p>
    <w:p>
      <w:pPr>
        <w:spacing w:after="120"/>
      </w:pPr>
      <w:hyperlink w:history="1" r:id="rIdv5f8fnl770-eej2h6_hru">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PCI Leasing and Finance, Inc. v. UCPB General Insurance Co., G.R. No. 162267 - Registered-owner responsibility to the public despite an unregistered private sale (checked 2026-08-30)</w:t>
      </w:r>
    </w:p>
    <w:p>
      <w:pPr>
        <w:spacing w:after="120"/>
      </w:pPr>
      <w:hyperlink w:history="1" r:id="rId3snwlywx8728bq-qtspdl">
        <w:r>
          <w:rPr>
            <w:rFonts w:ascii="Calibri" w:cs="Calibri" w:eastAsia="Calibri" w:hAnsi="Calibri"/>
            <w:color w:val="315B75"/>
            <w:sz w:val="17"/>
            <w:szCs w:val="17"/>
            <w:u w:val="single"/>
          </w:rPr>
          <w:t xml:space="preserve">https://lawphil.net/judjuris/juri2008/jul2008/gr_162267_2008.html</w:t>
        </w:r>
      </w:hyperlink>
    </w:p>
    <w:p>
      <w:pPr>
        <w:keepNext/>
        <w:spacing w:after="60" w:before="100"/>
      </w:pPr>
      <w:r>
        <w:rPr>
          <w:rFonts w:ascii="Calibri" w:cs="Calibri" w:eastAsia="Calibri" w:hAnsi="Calibri"/>
          <w:b/>
          <w:bCs/>
          <w:sz w:val="18"/>
          <w:szCs w:val="18"/>
        </w:rPr>
        <w:t xml:space="preserve">2004 Rules on Notarial Practice (A.M. No. 02-8-13-SC), as amended March 4, 2025 - Rule II Sec. 1 (acknowledgment, personal appearance, identity, and a representative's authority to sign in that capacity); Rule VIII Sec. 2 (certificate states the place and expiry of the commission). Amendments: https://sc.judiciary.gov.ph/wp-content/uploads/2025/06/Amended-2004-Notarial-Rules.pdf (checked 2026-10-01)</w:t>
      </w:r>
    </w:p>
    <w:p>
      <w:pPr>
        <w:spacing w:after="120"/>
      </w:pPr>
      <w:hyperlink w:history="1" r:id="rIdas5vew-lohlkshdfgv5lu">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 Electronic acknowledgment through a commissioned ENP and accredited ENF (checked 2026-08-30)</w:t>
      </w:r>
    </w:p>
    <w:p>
      <w:pPr>
        <w:spacing w:after="120"/>
      </w:pPr>
      <w:hyperlink w:history="1" r:id="rIduuivg7icr9pllhphdpkpd">
        <w:r>
          <w:rPr>
            <w:rFonts w:ascii="Calibri" w:cs="Calibri" w:eastAsia="Calibri" w:hAnsi="Calibri"/>
            <w:color w:val="315B75"/>
            <w:sz w:val="17"/>
            <w:szCs w:val="17"/>
            <w:u w:val="single"/>
          </w:rPr>
          <w:t xml:space="preserve">https://sc.judiciary.gov.ph/24-10-14-sc-rules-on-electronic-notarization/</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giwgqimsv-dygw0wfda" Type="http://schemas.openxmlformats.org/officeDocument/2006/relationships/hyperlink" Target="https://lawphil.net/statutes/repacts/ra1949/ra_386_1949.html" TargetMode="External"/><Relationship Id="rIdhjsxicjjdqhypalvk0gfw" Type="http://schemas.openxmlformats.org/officeDocument/2006/relationships/hyperlink" Target="https://lawphil.net/statutes/repacts/ra1964/ra_4136_1964.html" TargetMode="External"/><Relationship Id="rId58eox_o7pmfmtf24dxdc3" Type="http://schemas.openxmlformats.org/officeDocument/2006/relationships/hyperlink" Target="https://lawphil.net/statutes/repacts/ra2018/ra_11057_2018.html" TargetMode="External"/><Relationship Id="rIdkcgx5dzjg-75whlit7c9h" Type="http://schemas.openxmlformats.org/officeDocument/2006/relationships/hyperlink" Target="https://bir-cdn.bir.gov.ph/BIR/pdf/RR%20No.%207-%202024.pdf" TargetMode="External"/><Relationship Id="rIddjy3yfjxiont6tgi3ipwu" Type="http://schemas.openxmlformats.org/officeDocument/2006/relationships/hyperlink" Target="https://elibrary.judiciary.gov.ph/thebookshelf/showdocs/2/70217" TargetMode="External"/><Relationship Id="rIde4i47byjtlwaqje2w0sbd" Type="http://schemas.openxmlformats.org/officeDocument/2006/relationships/hyperlink" Target="https://lawphil.net/statutes/repacts/ra2025/ra_12209_2025.html" TargetMode="External"/><Relationship Id="rId1xzk0s1ks4xaxzuabbqvk" Type="http://schemas.openxmlformats.org/officeDocument/2006/relationships/hyperlink" Target="https://web.archive.org/web/20241211043853/https://lto.gov.ph/wp-content/uploads/2024/05/LTO_CC_05-30-2024.pdf" TargetMode="External"/><Relationship Id="rIdialevs3uudjvmayvwkawx" Type="http://schemas.openxmlformats.org/officeDocument/2006/relationships/hyperlink" Target="https://lto.gov.ph/wp-content/uploads/2024/09/AO-VDM-2024-046.pdf" TargetMode="External"/><Relationship Id="rIdv5f8fnl770-eej2h6_hru" Type="http://schemas.openxmlformats.org/officeDocument/2006/relationships/hyperlink" Target="https://lawphil.net/executive/execord/eo1987/eo_209_1987.html" TargetMode="External"/><Relationship Id="rId3snwlywx8728bq-qtspdl" Type="http://schemas.openxmlformats.org/officeDocument/2006/relationships/hyperlink" Target="https://lawphil.net/judjuris/juri2008/jul2008/gr_162267_2008.html" TargetMode="External"/><Relationship Id="rIdas5vew-lohlkshdfgv5lu" Type="http://schemas.openxmlformats.org/officeDocument/2006/relationships/hyperlink" Target="https://sc.judiciary.gov.ph/wp-content/uploads/2022/08/02-08-13-SC-1.pdf" TargetMode="External"/><Relationship Id="rIduuivg7icr9pllhphdpkpd" Type="http://schemas.openxmlformats.org/officeDocument/2006/relationships/hyperlink" Target="https://sc.judiciary.gov.ph/24-10-14-sc-rules-on-electronic-notarization/"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ABSOLUTE SALE OF MOTOR VEHICLE</dc:title>
  <dc:creator>LAW.PH</dc:creator>
  <dc:description>Free sample of the Deed of Sale — Motor Vehicle from LAW.PH, with fictional details</dc:description>
  <cp:lastModifiedBy>Un-named</cp:lastModifiedBy>
  <cp:revision>1</cp:revision>
  <dcterms:created xsi:type="dcterms:W3CDTF">2026-10-02T05:29:57.759Z</dcterms:created>
  <dcterms:modified xsi:type="dcterms:W3CDTF">2026-10-02T05:29:57.759Z</dcterms:modified>
</cp:coreProperties>
</file>

<file path=docProps/custom.xml><?xml version="1.0" encoding="utf-8"?>
<Properties xmlns="http://schemas.openxmlformats.org/officeDocument/2006/custom-properties" xmlns:vt="http://schemas.openxmlformats.org/officeDocument/2006/docPropsVTypes"/>
</file>